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072CE" w14:textId="77777777" w:rsidR="00C41101" w:rsidRDefault="00C41101">
      <w:pPr>
        <w:keepNext/>
        <w:pBdr>
          <w:top w:val="nil"/>
          <w:left w:val="nil"/>
          <w:bottom w:val="nil"/>
          <w:right w:val="nil"/>
          <w:between w:val="nil"/>
        </w:pBdr>
        <w:ind w:left="0"/>
        <w:jc w:val="left"/>
        <w:rPr>
          <w:b/>
          <w:color w:val="000000"/>
          <w:sz w:val="32"/>
          <w:szCs w:val="32"/>
        </w:rPr>
      </w:pPr>
    </w:p>
    <w:p w14:paraId="718107FF" w14:textId="77777777" w:rsidR="00C41101" w:rsidRDefault="00F80B0B">
      <w:pPr>
        <w:keepNext/>
        <w:pBdr>
          <w:top w:val="nil"/>
          <w:left w:val="nil"/>
          <w:bottom w:val="nil"/>
          <w:right w:val="nil"/>
          <w:between w:val="nil"/>
        </w:pBdr>
        <w:ind w:left="0"/>
        <w:jc w:val="left"/>
        <w:rPr>
          <w:b/>
          <w:color w:val="000000"/>
          <w:sz w:val="36"/>
          <w:szCs w:val="36"/>
        </w:rPr>
      </w:pPr>
      <w:r>
        <w:rPr>
          <w:b/>
          <w:color w:val="000000"/>
          <w:sz w:val="36"/>
          <w:szCs w:val="36"/>
        </w:rPr>
        <w:t>Order Schedule 8 (Business Continuity and Disaster Recovery)</w:t>
      </w:r>
    </w:p>
    <w:p w14:paraId="7E1CC68E" w14:textId="77777777" w:rsidR="00C41101" w:rsidRDefault="00F80B0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30FA3EC8" w14:textId="77777777" w:rsidR="00C41101" w:rsidRDefault="00F80B0B">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50"/>
        <w:gridCol w:w="6122"/>
      </w:tblGrid>
      <w:tr w:rsidR="00C41101" w14:paraId="445C4D28" w14:textId="77777777">
        <w:tc>
          <w:tcPr>
            <w:tcW w:w="2050" w:type="dxa"/>
          </w:tcPr>
          <w:p w14:paraId="0B47489D"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“Annual Revenue”</w:t>
            </w:r>
          </w:p>
        </w:tc>
        <w:tc>
          <w:tcPr>
            <w:tcW w:w="6122" w:type="dxa"/>
          </w:tcPr>
          <w:p w14:paraId="48B96D3A" w14:textId="77777777" w:rsidR="00C41101" w:rsidRDefault="00F80B0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0CA01AC6" w14:textId="77777777" w:rsidR="00C41101" w:rsidRDefault="00F80B0B">
            <w:pPr>
              <w:pBdr>
                <w:top w:val="nil"/>
                <w:left w:val="nil"/>
                <w:bottom w:val="nil"/>
                <w:right w:val="nil"/>
                <w:between w:val="nil"/>
              </w:pBdr>
              <w:ind w:left="0"/>
              <w:rPr>
                <w:rFonts w:ascii="Arial" w:eastAsia="Arial" w:hAnsi="Arial" w:cs="Arial"/>
                <w:sz w:val="24"/>
                <w:szCs w:val="24"/>
              </w:rPr>
            </w:pPr>
            <w:r>
              <w:rPr>
                <w:rFonts w:ascii="Arial" w:eastAsia="Arial" w:hAnsi="Arial" w:cs="Arial"/>
                <w:color w:val="000000"/>
                <w:sz w:val="24"/>
                <w:szCs w:val="24"/>
              </w:rPr>
              <w:t>figures for accounting periods of other than 12 months should be scaled pro rata to produce a proforma figure for a 12 month period; and</w:t>
            </w:r>
          </w:p>
          <w:p w14:paraId="752FC317"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C41101" w14:paraId="26E4D705" w14:textId="77777777">
        <w:tc>
          <w:tcPr>
            <w:tcW w:w="2050" w:type="dxa"/>
          </w:tcPr>
          <w:p w14:paraId="2408BE7E"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“Appropriate Authority” or “Appropriate Authorities”</w:t>
            </w:r>
          </w:p>
        </w:tc>
        <w:tc>
          <w:tcPr>
            <w:tcW w:w="6122" w:type="dxa"/>
          </w:tcPr>
          <w:p w14:paraId="7E809BC5"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means the Buyer and the Cabinet Office Markets and Suppliers Team or, where the Supplier is a Strategic Supplier, the Cabinet Office Markets and Suppliers Team;</w:t>
            </w:r>
          </w:p>
        </w:tc>
      </w:tr>
      <w:tr w:rsidR="00C41101" w14:paraId="4A761B6C" w14:textId="77777777">
        <w:tc>
          <w:tcPr>
            <w:tcW w:w="2050" w:type="dxa"/>
          </w:tcPr>
          <w:p w14:paraId="3419976F"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“Associates”</w:t>
            </w:r>
          </w:p>
        </w:tc>
        <w:tc>
          <w:tcPr>
            <w:tcW w:w="6122" w:type="dxa"/>
          </w:tcPr>
          <w:p w14:paraId="54D35524"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C41101" w14:paraId="2039A707" w14:textId="77777777">
        <w:tc>
          <w:tcPr>
            <w:tcW w:w="2050" w:type="dxa"/>
          </w:tcPr>
          <w:p w14:paraId="3006D3CE"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"BCDR Plan"</w:t>
            </w:r>
          </w:p>
        </w:tc>
        <w:tc>
          <w:tcPr>
            <w:tcW w:w="6122" w:type="dxa"/>
          </w:tcPr>
          <w:p w14:paraId="10F849F3"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2.2 of this Schedule;</w:t>
            </w:r>
          </w:p>
        </w:tc>
      </w:tr>
      <w:tr w:rsidR="00C41101" w14:paraId="6B850CED" w14:textId="77777777">
        <w:tc>
          <w:tcPr>
            <w:tcW w:w="2050" w:type="dxa"/>
          </w:tcPr>
          <w:p w14:paraId="5EC97069"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"Business Continuity Plan"</w:t>
            </w:r>
          </w:p>
        </w:tc>
        <w:tc>
          <w:tcPr>
            <w:tcW w:w="6122" w:type="dxa"/>
          </w:tcPr>
          <w:p w14:paraId="70EA672D"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2.3.2 of this Schedule;</w:t>
            </w:r>
          </w:p>
        </w:tc>
      </w:tr>
      <w:tr w:rsidR="00C41101" w14:paraId="55DDCFA8" w14:textId="77777777">
        <w:tc>
          <w:tcPr>
            <w:tcW w:w="2050" w:type="dxa"/>
          </w:tcPr>
          <w:p w14:paraId="6A4DC95F"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“Class 1 Transaction”</w:t>
            </w:r>
          </w:p>
        </w:tc>
        <w:tc>
          <w:tcPr>
            <w:tcW w:w="6122" w:type="dxa"/>
          </w:tcPr>
          <w:p w14:paraId="4533234B"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set out in the listing rules issued by the UK Listing Authority;</w:t>
            </w:r>
          </w:p>
        </w:tc>
      </w:tr>
      <w:tr w:rsidR="00C41101" w14:paraId="75E80649" w14:textId="77777777">
        <w:tc>
          <w:tcPr>
            <w:tcW w:w="2050" w:type="dxa"/>
          </w:tcPr>
          <w:p w14:paraId="397450F3"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“Control”</w:t>
            </w:r>
          </w:p>
        </w:tc>
        <w:tc>
          <w:tcPr>
            <w:tcW w:w="6122" w:type="dxa"/>
          </w:tcPr>
          <w:p w14:paraId="3E5249DA"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possession by a person, directly or indirectly, of the power to direct or cause the direction of the management and policies of the other person (whether through the ownership of voting shares, by contract or otherwise) and “</w:t>
            </w:r>
            <w:r>
              <w:rPr>
                <w:rFonts w:ascii="Arial" w:eastAsia="Arial" w:hAnsi="Arial" w:cs="Arial"/>
                <w:b/>
                <w:color w:val="000000"/>
                <w:sz w:val="24"/>
                <w:szCs w:val="24"/>
              </w:rPr>
              <w:t>Controls</w:t>
            </w:r>
            <w:r>
              <w:rPr>
                <w:rFonts w:ascii="Arial" w:eastAsia="Arial" w:hAnsi="Arial" w:cs="Arial"/>
                <w:color w:val="000000"/>
                <w:sz w:val="24"/>
                <w:szCs w:val="24"/>
              </w:rPr>
              <w:t>” and “</w:t>
            </w:r>
            <w:r>
              <w:rPr>
                <w:rFonts w:ascii="Arial" w:eastAsia="Arial" w:hAnsi="Arial" w:cs="Arial"/>
                <w:b/>
                <w:color w:val="000000"/>
                <w:sz w:val="24"/>
                <w:szCs w:val="24"/>
              </w:rPr>
              <w:t>Controlled</w:t>
            </w:r>
            <w:r>
              <w:rPr>
                <w:rFonts w:ascii="Arial" w:eastAsia="Arial" w:hAnsi="Arial" w:cs="Arial"/>
                <w:color w:val="000000"/>
                <w:sz w:val="24"/>
                <w:szCs w:val="24"/>
              </w:rPr>
              <w:t>” shall be interpreted accordingly;</w:t>
            </w:r>
          </w:p>
        </w:tc>
      </w:tr>
      <w:tr w:rsidR="00C41101" w14:paraId="5F7805CD" w14:textId="77777777">
        <w:tc>
          <w:tcPr>
            <w:tcW w:w="2050" w:type="dxa"/>
          </w:tcPr>
          <w:p w14:paraId="61461368"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“Corporate Change Event”</w:t>
            </w:r>
          </w:p>
        </w:tc>
        <w:tc>
          <w:tcPr>
            <w:tcW w:w="6122" w:type="dxa"/>
          </w:tcPr>
          <w:p w14:paraId="58636468" w14:textId="77777777" w:rsidR="00C41101" w:rsidRDefault="00F80B0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w:t>
            </w:r>
          </w:p>
          <w:p w14:paraId="780FCBA2"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14:paraId="11040E99"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63B0CA16"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1045AB47"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5BC86AE1"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32B91A66"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02367AAC"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14:paraId="7F0CD420"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2A32BFF2" w14:textId="77777777" w:rsidR="00C41101" w:rsidRDefault="00F80B0B">
            <w:pPr>
              <w:numPr>
                <w:ilvl w:val="3"/>
                <w:numId w:val="2"/>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77FA7C1B" w14:textId="77777777" w:rsidR="00C41101" w:rsidRDefault="00F80B0B">
            <w:pPr>
              <w:pBdr>
                <w:top w:val="nil"/>
                <w:left w:val="nil"/>
                <w:bottom w:val="nil"/>
                <w:right w:val="nil"/>
                <w:between w:val="nil"/>
              </w:pBdr>
              <w:tabs>
                <w:tab w:val="left" w:pos="-9"/>
              </w:tabs>
              <w:spacing w:after="120"/>
              <w:ind w:left="0"/>
              <w:rPr>
                <w:rFonts w:ascii="Arial" w:eastAsia="Arial" w:hAnsi="Arial" w:cs="Arial"/>
              </w:rPr>
            </w:pPr>
            <w:r>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C41101" w14:paraId="4D24E184" w14:textId="77777777">
        <w:tc>
          <w:tcPr>
            <w:tcW w:w="2050" w:type="dxa"/>
          </w:tcPr>
          <w:p w14:paraId="1A837C31"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“Critical National Infrastructure”</w:t>
            </w:r>
          </w:p>
        </w:tc>
        <w:tc>
          <w:tcPr>
            <w:tcW w:w="6122" w:type="dxa"/>
          </w:tcPr>
          <w:p w14:paraId="41401ACC" w14:textId="77777777" w:rsidR="00C41101" w:rsidRDefault="00F80B0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5350EA63" w14:textId="77777777" w:rsidR="00C41101" w:rsidRDefault="00F80B0B">
            <w:pPr>
              <w:pBdr>
                <w:top w:val="nil"/>
                <w:left w:val="nil"/>
                <w:bottom w:val="nil"/>
                <w:right w:val="nil"/>
                <w:between w:val="nil"/>
              </w:pBdr>
              <w:ind w:left="0"/>
              <w:rPr>
                <w:rFonts w:ascii="Arial" w:eastAsia="Arial" w:hAnsi="Arial" w:cs="Arial"/>
                <w:sz w:val="24"/>
                <w:szCs w:val="24"/>
              </w:rPr>
            </w:pPr>
            <w:r>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23CAF7B"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significant impact on the national security, national defence, or the functioning of the UK;</w:t>
            </w:r>
          </w:p>
        </w:tc>
      </w:tr>
      <w:tr w:rsidR="00C41101" w14:paraId="62B14570" w14:textId="77777777">
        <w:tc>
          <w:tcPr>
            <w:tcW w:w="2050" w:type="dxa"/>
          </w:tcPr>
          <w:p w14:paraId="1AEC6B02"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“Critical Service Contract”</w:t>
            </w:r>
          </w:p>
        </w:tc>
        <w:tc>
          <w:tcPr>
            <w:tcW w:w="6122" w:type="dxa"/>
          </w:tcPr>
          <w:p w14:paraId="7AD1EE56"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 service contract which the Buyer has categorised as a Gold Contract using the Cabinet Office Contract Tiering Tool or which the Buyer otherwise considers should be classed as a Critical Service Contract;</w:t>
            </w:r>
          </w:p>
        </w:tc>
      </w:tr>
      <w:tr w:rsidR="00C41101" w14:paraId="340FB386" w14:textId="77777777">
        <w:tc>
          <w:tcPr>
            <w:tcW w:w="2050" w:type="dxa"/>
          </w:tcPr>
          <w:p w14:paraId="45C1BE9E"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“CRP Information”</w:t>
            </w:r>
          </w:p>
        </w:tc>
        <w:tc>
          <w:tcPr>
            <w:tcW w:w="6122" w:type="dxa"/>
          </w:tcPr>
          <w:p w14:paraId="34BA8093" w14:textId="77777777" w:rsidR="00C41101" w:rsidRDefault="00F80B0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means, together, the:</w:t>
            </w:r>
          </w:p>
          <w:p w14:paraId="71E364AF" w14:textId="77777777" w:rsidR="00C41101" w:rsidRDefault="00F80B0B">
            <w:pPr>
              <w:pBdr>
                <w:top w:val="nil"/>
                <w:left w:val="nil"/>
                <w:bottom w:val="nil"/>
                <w:right w:val="nil"/>
                <w:between w:val="nil"/>
              </w:pBdr>
              <w:spacing w:before="100" w:after="200"/>
              <w:ind w:left="0"/>
              <w:jc w:val="left"/>
              <w:rPr>
                <w:rFonts w:ascii="Arial" w:eastAsia="Arial" w:hAnsi="Arial" w:cs="Arial"/>
                <w:color w:val="000000"/>
                <w:sz w:val="24"/>
                <w:szCs w:val="24"/>
              </w:rPr>
            </w:pPr>
            <w:r>
              <w:rPr>
                <w:rFonts w:ascii="Arial" w:eastAsia="Arial" w:hAnsi="Arial" w:cs="Arial"/>
                <w:color w:val="000000"/>
                <w:sz w:val="24"/>
                <w:szCs w:val="24"/>
              </w:rPr>
              <w:t>Group Structure Information and Resolution Commentary; and</w:t>
            </w:r>
          </w:p>
          <w:p w14:paraId="3B9A933F"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UK Public Sector and CNI Contract Information;</w:t>
            </w:r>
          </w:p>
        </w:tc>
      </w:tr>
      <w:tr w:rsidR="00C41101" w14:paraId="20CA891A" w14:textId="77777777">
        <w:tc>
          <w:tcPr>
            <w:tcW w:w="2050" w:type="dxa"/>
          </w:tcPr>
          <w:p w14:paraId="5966FB23"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“Dependent Parent Undertaking”</w:t>
            </w:r>
          </w:p>
        </w:tc>
        <w:tc>
          <w:tcPr>
            <w:tcW w:w="6122" w:type="dxa"/>
          </w:tcPr>
          <w:p w14:paraId="5EBD574A"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C41101" w14:paraId="1956871F" w14:textId="77777777">
        <w:tc>
          <w:tcPr>
            <w:tcW w:w="2050" w:type="dxa"/>
          </w:tcPr>
          <w:p w14:paraId="14FA6E69" w14:textId="77777777" w:rsidR="00C41101" w:rsidRDefault="00C41101">
            <w:pPr>
              <w:pBdr>
                <w:top w:val="nil"/>
                <w:left w:val="nil"/>
                <w:bottom w:val="nil"/>
                <w:right w:val="nil"/>
                <w:between w:val="nil"/>
              </w:pBdr>
              <w:spacing w:after="120"/>
              <w:ind w:left="-108"/>
              <w:jc w:val="center"/>
              <w:rPr>
                <w:rFonts w:ascii="Arial" w:eastAsia="Arial" w:hAnsi="Arial" w:cs="Arial"/>
                <w:b/>
                <w:color w:val="000000"/>
                <w:sz w:val="24"/>
                <w:szCs w:val="24"/>
              </w:rPr>
            </w:pPr>
          </w:p>
        </w:tc>
        <w:tc>
          <w:tcPr>
            <w:tcW w:w="6122" w:type="dxa"/>
          </w:tcPr>
          <w:p w14:paraId="666A5BF4" w14:textId="77777777" w:rsidR="00C41101" w:rsidRDefault="00C41101">
            <w:pPr>
              <w:pBdr>
                <w:top w:val="nil"/>
                <w:left w:val="nil"/>
                <w:bottom w:val="nil"/>
                <w:right w:val="nil"/>
                <w:between w:val="nil"/>
              </w:pBdr>
              <w:tabs>
                <w:tab w:val="left" w:pos="-9"/>
              </w:tabs>
              <w:spacing w:after="120"/>
              <w:ind w:left="170"/>
              <w:jc w:val="left"/>
              <w:rPr>
                <w:rFonts w:ascii="Arial" w:eastAsia="Arial" w:hAnsi="Arial" w:cs="Arial"/>
                <w:color w:val="000000"/>
                <w:sz w:val="24"/>
                <w:szCs w:val="24"/>
              </w:rPr>
            </w:pPr>
          </w:p>
        </w:tc>
      </w:tr>
      <w:tr w:rsidR="00C41101" w14:paraId="2067B7E9" w14:textId="77777777">
        <w:tc>
          <w:tcPr>
            <w:tcW w:w="2050" w:type="dxa"/>
          </w:tcPr>
          <w:p w14:paraId="278A5DD2"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"Disaster"</w:t>
            </w:r>
          </w:p>
        </w:tc>
        <w:tc>
          <w:tcPr>
            <w:tcW w:w="6122" w:type="dxa"/>
          </w:tcPr>
          <w:p w14:paraId="023E058E"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C41101" w14:paraId="0D12E9AB" w14:textId="77777777">
        <w:tc>
          <w:tcPr>
            <w:tcW w:w="2050" w:type="dxa"/>
          </w:tcPr>
          <w:p w14:paraId="46071646"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"Disaster Recovery Deliverables"</w:t>
            </w:r>
          </w:p>
        </w:tc>
        <w:tc>
          <w:tcPr>
            <w:tcW w:w="6122" w:type="dxa"/>
          </w:tcPr>
          <w:p w14:paraId="18EE67DB" w14:textId="77777777" w:rsidR="00C41101" w:rsidRDefault="00F80B0B">
            <w:pPr>
              <w:pBdr>
                <w:top w:val="nil"/>
                <w:left w:val="nil"/>
                <w:bottom w:val="nil"/>
                <w:right w:val="nil"/>
                <w:between w:val="nil"/>
              </w:pBdr>
              <w:tabs>
                <w:tab w:val="left" w:pos="-9"/>
                <w:tab w:val="left" w:pos="-17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Deliverables embodied in the processes and procedures for restoring the provision of Deliverables following the occurrence of a Disaster;</w:t>
            </w:r>
          </w:p>
        </w:tc>
      </w:tr>
      <w:tr w:rsidR="00C41101" w14:paraId="0E27528B" w14:textId="77777777">
        <w:tc>
          <w:tcPr>
            <w:tcW w:w="2050" w:type="dxa"/>
          </w:tcPr>
          <w:p w14:paraId="299B05F0"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6122" w:type="dxa"/>
          </w:tcPr>
          <w:p w14:paraId="3B3F803C"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2.3.3 of this Schedule;</w:t>
            </w:r>
          </w:p>
        </w:tc>
      </w:tr>
      <w:tr w:rsidR="00C41101" w14:paraId="587CFBFF" w14:textId="77777777">
        <w:tc>
          <w:tcPr>
            <w:tcW w:w="2050" w:type="dxa"/>
          </w:tcPr>
          <w:p w14:paraId="159662AF"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"Disaster Recovery System"</w:t>
            </w:r>
          </w:p>
        </w:tc>
        <w:tc>
          <w:tcPr>
            <w:tcW w:w="6122" w:type="dxa"/>
          </w:tcPr>
          <w:p w14:paraId="4554924A"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the system embodied in the processes and procedures for restoring the provision of Deliverables following the occurrence of a Disaster;</w:t>
            </w:r>
          </w:p>
        </w:tc>
      </w:tr>
      <w:tr w:rsidR="00C41101" w14:paraId="3F0AFCA9" w14:textId="77777777">
        <w:tc>
          <w:tcPr>
            <w:tcW w:w="2050" w:type="dxa"/>
          </w:tcPr>
          <w:p w14:paraId="4DDC3AAE"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“Group Structure Information and Resolution Commentary”</w:t>
            </w:r>
          </w:p>
        </w:tc>
        <w:tc>
          <w:tcPr>
            <w:tcW w:w="6122" w:type="dxa"/>
          </w:tcPr>
          <w:p w14:paraId="14C40546"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means the information relating to the Supplier Group to be provided by the Supplier in accordance with Paragraphs 2 to 4 and Appendix 1 to Part B;</w:t>
            </w:r>
          </w:p>
        </w:tc>
      </w:tr>
      <w:tr w:rsidR="00C41101" w14:paraId="363B96F0" w14:textId="77777777">
        <w:trPr>
          <w:trHeight w:val="567"/>
        </w:trPr>
        <w:tc>
          <w:tcPr>
            <w:tcW w:w="2050" w:type="dxa"/>
          </w:tcPr>
          <w:p w14:paraId="238BBC02"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“Parent Undertaking”</w:t>
            </w:r>
          </w:p>
        </w:tc>
        <w:tc>
          <w:tcPr>
            <w:tcW w:w="6122" w:type="dxa"/>
          </w:tcPr>
          <w:p w14:paraId="42B85FAF"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C41101" w14:paraId="7B4E2D16" w14:textId="77777777">
        <w:trPr>
          <w:trHeight w:val="567"/>
        </w:trPr>
        <w:tc>
          <w:tcPr>
            <w:tcW w:w="2050" w:type="dxa"/>
          </w:tcPr>
          <w:p w14:paraId="271A5147"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“Public Sector Dependent Supplier”</w:t>
            </w:r>
          </w:p>
        </w:tc>
        <w:tc>
          <w:tcPr>
            <w:tcW w:w="6122" w:type="dxa"/>
          </w:tcPr>
          <w:p w14:paraId="37ACCD56"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means a supplier where that supplier, or that supplier’s group has Annual Revenue of £50 million or more of which over 50% is generated from UK Public Sector Business;</w:t>
            </w:r>
          </w:p>
        </w:tc>
      </w:tr>
      <w:tr w:rsidR="00C41101" w14:paraId="5C83D96B" w14:textId="77777777">
        <w:trPr>
          <w:trHeight w:val="567"/>
        </w:trPr>
        <w:tc>
          <w:tcPr>
            <w:tcW w:w="2050" w:type="dxa"/>
          </w:tcPr>
          <w:p w14:paraId="0124A4D3"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"Related Supplier"</w:t>
            </w:r>
          </w:p>
        </w:tc>
        <w:tc>
          <w:tcPr>
            <w:tcW w:w="6122" w:type="dxa"/>
          </w:tcPr>
          <w:p w14:paraId="75D3E1A1"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C41101" w14:paraId="4933AFA9" w14:textId="77777777">
        <w:trPr>
          <w:trHeight w:val="567"/>
        </w:trPr>
        <w:tc>
          <w:tcPr>
            <w:tcW w:w="2050" w:type="dxa"/>
          </w:tcPr>
          <w:p w14:paraId="4938D3E2"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"Review Report"</w:t>
            </w:r>
          </w:p>
        </w:tc>
        <w:tc>
          <w:tcPr>
            <w:tcW w:w="6122" w:type="dxa"/>
          </w:tcPr>
          <w:p w14:paraId="2425622A"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 and</w:t>
            </w:r>
          </w:p>
        </w:tc>
      </w:tr>
      <w:tr w:rsidR="00C41101" w14:paraId="27A91319" w14:textId="77777777">
        <w:trPr>
          <w:trHeight w:val="567"/>
        </w:trPr>
        <w:tc>
          <w:tcPr>
            <w:tcW w:w="2050" w:type="dxa"/>
          </w:tcPr>
          <w:p w14:paraId="5EE6CE65"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6122" w:type="dxa"/>
          </w:tcPr>
          <w:p w14:paraId="5788D706" w14:textId="77777777" w:rsidR="00C41101" w:rsidRDefault="00F80B0B">
            <w:pPr>
              <w:ind w:left="0"/>
              <w:jc w:val="left"/>
              <w:rPr>
                <w:rFonts w:ascii="Arial" w:eastAsia="Arial" w:hAnsi="Arial" w:cs="Arial"/>
                <w:sz w:val="24"/>
                <w:szCs w:val="24"/>
              </w:rPr>
            </w:pPr>
            <w:r>
              <w:rPr>
                <w:rFonts w:ascii="Arial" w:eastAsia="Arial" w:hAnsi="Arial" w:cs="Arial"/>
                <w:sz w:val="24"/>
                <w:szCs w:val="24"/>
              </w:rPr>
              <w:t>means those suppliers to government listed at</w:t>
            </w:r>
          </w:p>
          <w:p w14:paraId="37ADF552"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https://www.gov.uk/government/publications/strategic-suppliers;</w:t>
            </w:r>
          </w:p>
        </w:tc>
      </w:tr>
      <w:tr w:rsidR="00C41101" w14:paraId="7A0A6B4B" w14:textId="77777777">
        <w:trPr>
          <w:trHeight w:val="567"/>
        </w:trPr>
        <w:tc>
          <w:tcPr>
            <w:tcW w:w="2050" w:type="dxa"/>
          </w:tcPr>
          <w:p w14:paraId="1C4E646D"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“Subsidiary Undertaking”</w:t>
            </w:r>
          </w:p>
        </w:tc>
        <w:tc>
          <w:tcPr>
            <w:tcW w:w="6122" w:type="dxa"/>
          </w:tcPr>
          <w:p w14:paraId="066F61DF"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set out in section 1162 of the Companies Act 2006;</w:t>
            </w:r>
          </w:p>
        </w:tc>
      </w:tr>
      <w:tr w:rsidR="00C41101" w14:paraId="4BCAA7C5" w14:textId="77777777">
        <w:trPr>
          <w:trHeight w:val="567"/>
        </w:trPr>
        <w:tc>
          <w:tcPr>
            <w:tcW w:w="2050" w:type="dxa"/>
          </w:tcPr>
          <w:p w14:paraId="7CC320CA"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Group”</w:t>
            </w:r>
          </w:p>
        </w:tc>
        <w:tc>
          <w:tcPr>
            <w:tcW w:w="6122" w:type="dxa"/>
          </w:tcPr>
          <w:p w14:paraId="64CDF205"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means the Supplier, its Dependent Parent Undertakings and all Subsidiary Undertakings and Associates of such Dependent Parent Undertakings;</w:t>
            </w:r>
          </w:p>
        </w:tc>
      </w:tr>
      <w:tr w:rsidR="00C41101" w14:paraId="21240F9E" w14:textId="77777777">
        <w:tc>
          <w:tcPr>
            <w:tcW w:w="2050" w:type="dxa"/>
          </w:tcPr>
          <w:p w14:paraId="3893175E"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6122" w:type="dxa"/>
          </w:tcPr>
          <w:p w14:paraId="7DF45314"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w:t>
            </w:r>
          </w:p>
        </w:tc>
      </w:tr>
      <w:tr w:rsidR="00C41101" w14:paraId="7D790207" w14:textId="77777777">
        <w:tc>
          <w:tcPr>
            <w:tcW w:w="2050" w:type="dxa"/>
          </w:tcPr>
          <w:p w14:paraId="7F77E2DB"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“UK Public Sector Business”</w:t>
            </w:r>
          </w:p>
        </w:tc>
        <w:tc>
          <w:tcPr>
            <w:tcW w:w="6122" w:type="dxa"/>
          </w:tcPr>
          <w:p w14:paraId="3546F02F"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rsidR="00C41101" w14:paraId="57A640D0" w14:textId="77777777">
        <w:tc>
          <w:tcPr>
            <w:tcW w:w="2050" w:type="dxa"/>
          </w:tcPr>
          <w:p w14:paraId="264FC746" w14:textId="77777777" w:rsidR="00C41101" w:rsidRDefault="00F80B0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“UK Public Sector / CNI Contract Information”</w:t>
            </w:r>
          </w:p>
        </w:tc>
        <w:tc>
          <w:tcPr>
            <w:tcW w:w="6122" w:type="dxa"/>
          </w:tcPr>
          <w:p w14:paraId="5D9C7E4D" w14:textId="77777777" w:rsidR="00C41101" w:rsidRDefault="00F80B0B">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rFonts w:ascii="Arial" w:eastAsia="Arial" w:hAnsi="Arial" w:cs="Arial"/>
                <w:color w:val="000000"/>
                <w:sz w:val="24"/>
                <w:szCs w:val="24"/>
              </w:rPr>
              <w:t>means the information relating to the Supplier Group to be provided by the Supplier in accordance with Paragraphs 2 to 4 and Appendix 2 of Part B;</w:t>
            </w:r>
          </w:p>
        </w:tc>
      </w:tr>
    </w:tbl>
    <w:p w14:paraId="20115A89" w14:textId="77777777" w:rsidR="00C41101" w:rsidRDefault="00F80B0B">
      <w:pPr>
        <w:keepNext/>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Part A: BCDR Plan</w:t>
      </w:r>
    </w:p>
    <w:p w14:paraId="54CAED9E" w14:textId="77777777" w:rsidR="00C41101" w:rsidRDefault="00F80B0B">
      <w:pPr>
        <w:keepNext/>
        <w:pBdr>
          <w:top w:val="nil"/>
          <w:left w:val="nil"/>
          <w:bottom w:val="nil"/>
          <w:right w:val="nil"/>
          <w:between w:val="nil"/>
        </w:pBdr>
        <w:tabs>
          <w:tab w:val="left" w:pos="0"/>
        </w:tabs>
        <w:spacing w:before="240"/>
        <w:ind w:left="360" w:hanging="360"/>
        <w:jc w:val="left"/>
        <w:rPr>
          <w:b/>
          <w:smallCaps/>
          <w:color w:val="000000"/>
          <w:sz w:val="24"/>
          <w:szCs w:val="24"/>
        </w:rPr>
      </w:pPr>
      <w:r>
        <w:rPr>
          <w:rFonts w:ascii="Arial Bold" w:eastAsia="Arial Bold" w:hAnsi="Arial Bold" w:cs="Arial Bold"/>
          <w:b/>
          <w:color w:val="000000"/>
          <w:sz w:val="24"/>
          <w:szCs w:val="24"/>
        </w:rPr>
        <w:t>1. BCDR Plan</w:t>
      </w:r>
    </w:p>
    <w:p w14:paraId="080ABAEA" w14:textId="77777777" w:rsidR="00C41101" w:rsidRDefault="00F80B0B">
      <w:pPr>
        <w:pBdr>
          <w:top w:val="nil"/>
          <w:left w:val="nil"/>
          <w:bottom w:val="nil"/>
          <w:right w:val="nil"/>
          <w:between w:val="nil"/>
        </w:pBdr>
        <w:spacing w:before="120" w:after="120"/>
        <w:ind w:left="936" w:hanging="576"/>
        <w:jc w:val="left"/>
        <w:rPr>
          <w:color w:val="000000"/>
          <w:sz w:val="24"/>
          <w:szCs w:val="24"/>
        </w:rPr>
      </w:pPr>
      <w:bookmarkStart w:id="1" w:name="_heading=h.30j0zll" w:colFirst="0" w:colLast="0"/>
      <w:bookmarkEnd w:id="1"/>
      <w:r>
        <w:rPr>
          <w:color w:val="000000"/>
          <w:sz w:val="24"/>
          <w:szCs w:val="24"/>
        </w:rPr>
        <w:t xml:space="preserve">1.1 </w:t>
      </w:r>
      <w:r>
        <w:rPr>
          <w:color w:val="000000"/>
          <w:sz w:val="24"/>
          <w:szCs w:val="24"/>
        </w:rPr>
        <w:tab/>
        <w:t>The Buyer and the Supplier recognise that, where specified in DPS Schedule 4 (DPS Management), CCS shall have the right to enforce the Buyer's rights under this Schedule.</w:t>
      </w:r>
    </w:p>
    <w:p w14:paraId="1EB167CB" w14:textId="77777777" w:rsidR="00C41101" w:rsidRDefault="00F80B0B">
      <w:pPr>
        <w:pBdr>
          <w:top w:val="nil"/>
          <w:left w:val="nil"/>
          <w:bottom w:val="nil"/>
          <w:right w:val="nil"/>
          <w:between w:val="nil"/>
        </w:pBdr>
        <w:spacing w:before="120" w:after="120"/>
        <w:ind w:left="936" w:hanging="576"/>
        <w:jc w:val="left"/>
        <w:rPr>
          <w:color w:val="000000"/>
          <w:sz w:val="24"/>
          <w:szCs w:val="24"/>
        </w:rPr>
      </w:pPr>
      <w:r>
        <w:rPr>
          <w:color w:val="000000"/>
          <w:sz w:val="24"/>
          <w:szCs w:val="24"/>
        </w:rPr>
        <w:t xml:space="preserve">1.2 </w:t>
      </w:r>
      <w:r>
        <w:rPr>
          <w:color w:val="000000"/>
          <w:sz w:val="24"/>
          <w:szCs w:val="24"/>
        </w:rPr>
        <w:tab/>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16E7A6D9" w14:textId="77777777" w:rsidR="00C41101" w:rsidRDefault="00F80B0B">
      <w:pPr>
        <w:pBdr>
          <w:top w:val="nil"/>
          <w:left w:val="nil"/>
          <w:bottom w:val="nil"/>
          <w:right w:val="nil"/>
          <w:between w:val="nil"/>
        </w:pBdr>
        <w:tabs>
          <w:tab w:val="left" w:pos="1985"/>
          <w:tab w:val="left" w:pos="2127"/>
        </w:tabs>
        <w:spacing w:before="120" w:after="120"/>
        <w:ind w:left="1656" w:hanging="1296"/>
        <w:jc w:val="left"/>
        <w:rPr>
          <w:color w:val="000000"/>
          <w:sz w:val="24"/>
          <w:szCs w:val="24"/>
        </w:rPr>
      </w:pPr>
      <w:r>
        <w:rPr>
          <w:color w:val="000000"/>
          <w:sz w:val="24"/>
          <w:szCs w:val="24"/>
        </w:rPr>
        <w:t xml:space="preserve">1.2.1 </w:t>
      </w:r>
      <w:r>
        <w:rPr>
          <w:color w:val="000000"/>
          <w:sz w:val="24"/>
          <w:szCs w:val="24"/>
        </w:rPr>
        <w:tab/>
        <w:t>ensure continuity of the business processes and operations supported by the Services following any failure or disruption of any element of the Deliverables; and</w:t>
      </w:r>
    </w:p>
    <w:p w14:paraId="4FF88CFA" w14:textId="77777777" w:rsidR="00C41101" w:rsidRDefault="00F80B0B">
      <w:pPr>
        <w:pBdr>
          <w:top w:val="nil"/>
          <w:left w:val="nil"/>
          <w:bottom w:val="nil"/>
          <w:right w:val="nil"/>
          <w:between w:val="nil"/>
        </w:pBdr>
        <w:tabs>
          <w:tab w:val="left" w:pos="1985"/>
          <w:tab w:val="left" w:pos="2127"/>
        </w:tabs>
        <w:spacing w:before="120" w:after="120"/>
        <w:ind w:left="1656" w:hanging="1296"/>
        <w:jc w:val="left"/>
        <w:rPr>
          <w:color w:val="000000"/>
          <w:sz w:val="24"/>
          <w:szCs w:val="24"/>
        </w:rPr>
      </w:pPr>
      <w:r>
        <w:rPr>
          <w:color w:val="000000"/>
          <w:sz w:val="24"/>
          <w:szCs w:val="24"/>
        </w:rPr>
        <w:t xml:space="preserve">1.2.2 </w:t>
      </w:r>
      <w:r>
        <w:rPr>
          <w:color w:val="000000"/>
          <w:sz w:val="24"/>
          <w:szCs w:val="24"/>
        </w:rPr>
        <w:tab/>
        <w:t xml:space="preserve">the recovery of the Deliverables in the event of a Disaster </w:t>
      </w:r>
    </w:p>
    <w:p w14:paraId="0D452ADD" w14:textId="77777777" w:rsidR="00C41101" w:rsidRDefault="00F80B0B">
      <w:pPr>
        <w:keepNext/>
        <w:pBdr>
          <w:top w:val="nil"/>
          <w:left w:val="nil"/>
          <w:bottom w:val="nil"/>
          <w:right w:val="nil"/>
          <w:between w:val="nil"/>
        </w:pBdr>
        <w:spacing w:before="120" w:after="120"/>
        <w:ind w:left="936" w:hanging="576"/>
        <w:jc w:val="left"/>
        <w:rPr>
          <w:color w:val="000000"/>
          <w:sz w:val="24"/>
          <w:szCs w:val="24"/>
        </w:rPr>
      </w:pPr>
      <w:r>
        <w:rPr>
          <w:color w:val="000000"/>
          <w:sz w:val="24"/>
          <w:szCs w:val="24"/>
        </w:rPr>
        <w:t xml:space="preserve">1.3 </w:t>
      </w:r>
      <w:r>
        <w:rPr>
          <w:color w:val="000000"/>
          <w:sz w:val="24"/>
          <w:szCs w:val="24"/>
        </w:rPr>
        <w:tab/>
      </w:r>
      <w:r>
        <w:rPr>
          <w:color w:val="000000"/>
          <w:sz w:val="24"/>
          <w:szCs w:val="24"/>
        </w:rPr>
        <w:t>The BCDR Plan shall be divided into four sections:</w:t>
      </w:r>
    </w:p>
    <w:p w14:paraId="318A242C" w14:textId="77777777" w:rsidR="00C41101" w:rsidRDefault="00F80B0B">
      <w:pPr>
        <w:pBdr>
          <w:top w:val="nil"/>
          <w:left w:val="nil"/>
          <w:bottom w:val="nil"/>
          <w:right w:val="nil"/>
          <w:between w:val="nil"/>
        </w:pBdr>
        <w:tabs>
          <w:tab w:val="left" w:pos="1985"/>
          <w:tab w:val="left" w:pos="2127"/>
        </w:tabs>
        <w:spacing w:before="120" w:after="120"/>
        <w:ind w:left="1656" w:hanging="1296"/>
        <w:jc w:val="left"/>
        <w:rPr>
          <w:color w:val="000000"/>
          <w:sz w:val="24"/>
          <w:szCs w:val="24"/>
        </w:rPr>
      </w:pPr>
      <w:bookmarkStart w:id="2" w:name="_heading=h.1fob9te" w:colFirst="0" w:colLast="0"/>
      <w:bookmarkEnd w:id="2"/>
      <w:r>
        <w:rPr>
          <w:color w:val="000000"/>
          <w:sz w:val="24"/>
          <w:szCs w:val="24"/>
        </w:rPr>
        <w:t xml:space="preserve">1.3.1 </w:t>
      </w:r>
      <w:r>
        <w:rPr>
          <w:color w:val="000000"/>
          <w:sz w:val="24"/>
          <w:szCs w:val="24"/>
        </w:rPr>
        <w:tab/>
        <w:t xml:space="preserve">Section 1 which shall set out general principles applicable to the BCDR Plan; </w:t>
      </w:r>
    </w:p>
    <w:p w14:paraId="1B9A7531" w14:textId="77777777" w:rsidR="00C41101" w:rsidRDefault="00F80B0B">
      <w:pPr>
        <w:pBdr>
          <w:top w:val="nil"/>
          <w:left w:val="nil"/>
          <w:bottom w:val="nil"/>
          <w:right w:val="nil"/>
          <w:between w:val="nil"/>
        </w:pBdr>
        <w:tabs>
          <w:tab w:val="left" w:pos="1985"/>
          <w:tab w:val="left" w:pos="2127"/>
        </w:tabs>
        <w:spacing w:before="120" w:after="120"/>
        <w:ind w:left="1656" w:hanging="1296"/>
        <w:jc w:val="left"/>
        <w:rPr>
          <w:color w:val="000000"/>
          <w:sz w:val="24"/>
          <w:szCs w:val="24"/>
        </w:rPr>
      </w:pPr>
      <w:bookmarkStart w:id="3" w:name="_heading=h.3znysh7" w:colFirst="0" w:colLast="0"/>
      <w:bookmarkEnd w:id="3"/>
      <w:r>
        <w:rPr>
          <w:color w:val="000000"/>
          <w:sz w:val="24"/>
          <w:szCs w:val="24"/>
        </w:rPr>
        <w:t xml:space="preserve">1.3.2 </w:t>
      </w:r>
      <w:r>
        <w:rPr>
          <w:color w:val="000000"/>
          <w:sz w:val="24"/>
          <w:szCs w:val="24"/>
        </w:rPr>
        <w:tab/>
        <w:t xml:space="preserve">Section 2 which shall relate to business continuity (the </w:t>
      </w:r>
      <w:r>
        <w:rPr>
          <w:b/>
          <w:color w:val="000000"/>
          <w:sz w:val="24"/>
          <w:szCs w:val="24"/>
        </w:rPr>
        <w:t>"Business Continuity Plan"</w:t>
      </w:r>
      <w:r>
        <w:rPr>
          <w:color w:val="000000"/>
          <w:sz w:val="24"/>
          <w:szCs w:val="24"/>
        </w:rPr>
        <w:t xml:space="preserve">); </w:t>
      </w:r>
    </w:p>
    <w:p w14:paraId="0F8E9E0A" w14:textId="77777777" w:rsidR="00C41101" w:rsidRDefault="00F80B0B">
      <w:pPr>
        <w:pBdr>
          <w:top w:val="nil"/>
          <w:left w:val="nil"/>
          <w:bottom w:val="nil"/>
          <w:right w:val="nil"/>
          <w:between w:val="nil"/>
        </w:pBdr>
        <w:tabs>
          <w:tab w:val="left" w:pos="1985"/>
          <w:tab w:val="left" w:pos="2127"/>
        </w:tabs>
        <w:spacing w:before="120" w:after="120"/>
        <w:ind w:left="1656" w:hanging="1296"/>
        <w:jc w:val="left"/>
        <w:rPr>
          <w:color w:val="000000"/>
          <w:sz w:val="24"/>
          <w:szCs w:val="24"/>
        </w:rPr>
      </w:pPr>
      <w:bookmarkStart w:id="4" w:name="_heading=h.2et92p0" w:colFirst="0" w:colLast="0"/>
      <w:bookmarkEnd w:id="4"/>
      <w:r>
        <w:rPr>
          <w:sz w:val="24"/>
          <w:szCs w:val="24"/>
        </w:rPr>
        <w:t xml:space="preserve">1.3.3 </w:t>
      </w:r>
      <w:r>
        <w:rPr>
          <w:sz w:val="24"/>
          <w:szCs w:val="24"/>
        </w:rPr>
        <w:tab/>
        <w:t>Section</w:t>
      </w:r>
      <w:r>
        <w:rPr>
          <w:color w:val="000000"/>
          <w:sz w:val="24"/>
          <w:szCs w:val="24"/>
        </w:rPr>
        <w:t xml:space="preserve"> 3 which shall relate to disaster recovery (the </w:t>
      </w:r>
      <w:r>
        <w:rPr>
          <w:b/>
          <w:color w:val="000000"/>
          <w:sz w:val="24"/>
          <w:szCs w:val="24"/>
        </w:rPr>
        <w:t>"Disaster Recovery Plan"</w:t>
      </w:r>
      <w:r>
        <w:rPr>
          <w:color w:val="000000"/>
          <w:sz w:val="24"/>
          <w:szCs w:val="24"/>
        </w:rPr>
        <w:t>); and</w:t>
      </w:r>
    </w:p>
    <w:p w14:paraId="6D5192D0" w14:textId="77777777" w:rsidR="00C41101" w:rsidRDefault="00F80B0B">
      <w:pPr>
        <w:pBdr>
          <w:top w:val="nil"/>
          <w:left w:val="nil"/>
          <w:bottom w:val="nil"/>
          <w:right w:val="nil"/>
          <w:between w:val="nil"/>
        </w:pBdr>
        <w:tabs>
          <w:tab w:val="left" w:pos="1985"/>
          <w:tab w:val="left" w:pos="2127"/>
        </w:tabs>
        <w:spacing w:before="120" w:after="120"/>
        <w:ind w:left="1656" w:hanging="1296"/>
        <w:jc w:val="left"/>
        <w:rPr>
          <w:sz w:val="24"/>
          <w:szCs w:val="24"/>
        </w:rPr>
      </w:pPr>
      <w:r>
        <w:rPr>
          <w:color w:val="000000"/>
          <w:sz w:val="24"/>
          <w:szCs w:val="24"/>
        </w:rPr>
        <w:t xml:space="preserve">1.3.4 </w:t>
      </w:r>
      <w:r>
        <w:rPr>
          <w:color w:val="000000"/>
          <w:sz w:val="24"/>
          <w:szCs w:val="24"/>
        </w:rPr>
        <w:tab/>
        <w:t xml:space="preserve">Section 4 which shall relate to an Insolvency Event of the Supplier, and Key Subcontractors and/or any Supplier Group member (the </w:t>
      </w:r>
      <w:r>
        <w:rPr>
          <w:b/>
          <w:color w:val="000000"/>
          <w:sz w:val="24"/>
          <w:szCs w:val="24"/>
        </w:rPr>
        <w:t>“Insolvency Continuity Plan”</w:t>
      </w:r>
      <w:r>
        <w:rPr>
          <w:color w:val="000000"/>
          <w:sz w:val="24"/>
          <w:szCs w:val="24"/>
        </w:rPr>
        <w:t>).</w:t>
      </w:r>
    </w:p>
    <w:p w14:paraId="6D7A23B4"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bookmarkStart w:id="5" w:name="_heading=h.tyjcwt" w:colFirst="0" w:colLast="0"/>
      <w:bookmarkEnd w:id="5"/>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1B8B132" w14:textId="77777777" w:rsidR="00C41101" w:rsidRDefault="00F80B0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6" w:name="_heading=h.3dy6vkm" w:colFirst="0" w:colLast="0"/>
      <w:bookmarkEnd w:id="6"/>
      <w:r>
        <w:rPr>
          <w:rFonts w:ascii="Arial Bold" w:eastAsia="Arial Bold" w:hAnsi="Arial Bold" w:cs="Arial Bold"/>
          <w:b/>
          <w:color w:val="000000"/>
          <w:sz w:val="24"/>
          <w:szCs w:val="24"/>
        </w:rPr>
        <w:t>General Principles of the BCDR Plan (Section 1)</w:t>
      </w:r>
    </w:p>
    <w:p w14:paraId="257287EF" w14:textId="77777777" w:rsidR="00C41101" w:rsidRDefault="00F80B0B">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Section 1 of the BCDR Plan shall:</w:t>
      </w:r>
    </w:p>
    <w:p w14:paraId="35D59B38"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how the business continuity and disaster recovery elements of the BCDR Plan link to each other;</w:t>
      </w:r>
    </w:p>
    <w:p w14:paraId="5EB07115"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31EF263F"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3E9AFCC7"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5AE0397B"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6709FFB2" w14:textId="77777777" w:rsidR="00C41101" w:rsidRDefault="00F80B0B">
      <w:pPr>
        <w:keepNext/>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5A32B9B" w14:textId="77777777" w:rsidR="00C41101" w:rsidRDefault="00F80B0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5FCC87EA" w14:textId="77777777" w:rsidR="00C41101" w:rsidRDefault="00F80B0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4486F519" w14:textId="77777777" w:rsidR="00C41101" w:rsidRDefault="00F80B0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87598CD" w14:textId="77777777" w:rsidR="00C41101" w:rsidRDefault="00F80B0B">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2273A659"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49C16ECF"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1CC4EA2C"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49584DD6"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5BAED8E4"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invocation of the BCDR Plan; </w:t>
      </w:r>
    </w:p>
    <w:p w14:paraId="5DC38DF9"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plans;</w:t>
      </w:r>
    </w:p>
    <w:p w14:paraId="322A7FEB"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237A3AE1"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14:paraId="2331A1C8"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14:paraId="4218398B" w14:textId="77777777" w:rsidR="00C41101" w:rsidRDefault="00F80B0B">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BCDR Plan shall be designed so as to ensure that:</w:t>
      </w:r>
    </w:p>
    <w:p w14:paraId="366452B4"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41C588A0"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521735AB"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5F72CF44"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52863DFE"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3050E65"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7405F95A" w14:textId="77777777" w:rsidR="00C41101" w:rsidRDefault="00F80B0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243BE889"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bookmarkStart w:id="7" w:name="_heading=h.1t3h5sf" w:colFirst="0" w:colLast="0"/>
      <w:bookmarkEnd w:id="7"/>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29549D79"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2E29EC4C"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195AE213" w14:textId="77777777" w:rsidR="00C41101" w:rsidRDefault="00F80B0B">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4E9FAACC"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5E684147"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4d34og8" w:colFirst="0" w:colLast="0"/>
      <w:bookmarkEnd w:id="8"/>
      <w:r>
        <w:rPr>
          <w:color w:val="000000"/>
          <w:sz w:val="24"/>
          <w:szCs w:val="24"/>
        </w:rPr>
        <w:t>set out the goods and/or services to be provided and the steps to be taken to remedy the different levels of failures of and disruption to the Deliverables;</w:t>
      </w:r>
    </w:p>
    <w:p w14:paraId="609D3395"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9D0BF76"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284DCDA9" w14:textId="77777777" w:rsidR="00C41101" w:rsidRDefault="00F80B0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Disaster Recovery (Section 3)</w:t>
      </w:r>
    </w:p>
    <w:p w14:paraId="4BD7A449"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bookmarkStart w:id="9" w:name="_heading=h.2s8eyo1" w:colFirst="0" w:colLast="0"/>
      <w:bookmarkEnd w:id="9"/>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2AC660D5" w14:textId="77777777" w:rsidR="00C41101" w:rsidRDefault="00F80B0B">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177D9CD4"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48F63580"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286F4A17"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507A1EFC"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78038016"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3955C454"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2A599991"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4A651B5A"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23D73712"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12686C2F"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4B0AF4DB"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7E604EB8"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4FB8EEE4"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04B17906" w14:textId="77777777" w:rsidR="00C41101" w:rsidRDefault="00F80B0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Insolvency Continuity Plan (Section 4)</w:t>
      </w:r>
    </w:p>
    <w:p w14:paraId="277C86A4" w14:textId="77777777" w:rsidR="00C41101" w:rsidRDefault="00F80B0B">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6F46028A" w14:textId="77777777" w:rsidR="00C41101" w:rsidRDefault="00F80B0B">
      <w:pPr>
        <w:numPr>
          <w:ilvl w:val="1"/>
          <w:numId w:val="1"/>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14:paraId="6BDC547A" w14:textId="77777777" w:rsidR="00C41101" w:rsidRDefault="00F80B0B">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7EA1BF55" w14:textId="77777777" w:rsidR="00C41101" w:rsidRDefault="00F80B0B">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1E361931" w14:textId="77777777" w:rsidR="00C41101" w:rsidRDefault="00F80B0B">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14:paraId="1C712347" w14:textId="77777777" w:rsidR="00C41101" w:rsidRDefault="00F80B0B">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effects of an Insolvency Event of such persons on the Deliverables;</w:t>
      </w:r>
    </w:p>
    <w:p w14:paraId="3B63104B" w14:textId="77777777" w:rsidR="00C41101" w:rsidRDefault="00F80B0B">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14:paraId="6274DB3F" w14:textId="77777777" w:rsidR="00C41101" w:rsidRDefault="00F80B0B">
      <w:pPr>
        <w:numPr>
          <w:ilvl w:val="2"/>
          <w:numId w:val="1"/>
        </w:numPr>
        <w:pBdr>
          <w:top w:val="nil"/>
          <w:left w:val="nil"/>
          <w:bottom w:val="nil"/>
          <w:right w:val="nil"/>
          <w:between w:val="nil"/>
        </w:pBdr>
        <w:tabs>
          <w:tab w:val="left" w:pos="1985"/>
          <w:tab w:val="left" w:pos="2127"/>
        </w:tabs>
        <w:spacing w:before="120" w:after="120"/>
        <w:rPr>
          <w:smallCaps/>
          <w:color w:val="000000"/>
          <w:sz w:val="24"/>
          <w:szCs w:val="24"/>
        </w:rPr>
      </w:pPr>
      <w:r>
        <w:rPr>
          <w:color w:val="000000"/>
          <w:sz w:val="24"/>
          <w:szCs w:val="24"/>
        </w:rPr>
        <w:t>sufficient detail to enable an appointed insolvency practitioner to invoke the plan in the event of an Insolvency Event of the Supplier.</w:t>
      </w:r>
    </w:p>
    <w:p w14:paraId="380BDD19" w14:textId="77777777" w:rsidR="00C41101" w:rsidRDefault="00F80B0B">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3A2DE06C" w14:textId="77777777" w:rsidR="00C41101" w:rsidRDefault="00F80B0B">
      <w:pPr>
        <w:keepNext/>
        <w:numPr>
          <w:ilvl w:val="1"/>
          <w:numId w:val="1"/>
        </w:numPr>
        <w:pBdr>
          <w:top w:val="nil"/>
          <w:left w:val="nil"/>
          <w:bottom w:val="nil"/>
          <w:right w:val="nil"/>
          <w:between w:val="nil"/>
        </w:pBdr>
        <w:spacing w:before="120" w:after="120"/>
        <w:jc w:val="left"/>
        <w:rPr>
          <w:color w:val="000000"/>
          <w:sz w:val="24"/>
          <w:szCs w:val="24"/>
        </w:rPr>
      </w:pPr>
      <w:bookmarkStart w:id="10" w:name="_heading=h.17dp8vu" w:colFirst="0" w:colLast="0"/>
      <w:bookmarkEnd w:id="10"/>
      <w:r>
        <w:rPr>
          <w:color w:val="000000"/>
          <w:sz w:val="24"/>
          <w:szCs w:val="24"/>
        </w:rPr>
        <w:t>The Supplier shall review the BCDR Plan:</w:t>
      </w:r>
    </w:p>
    <w:p w14:paraId="0D076EFF"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3rdcrjn" w:colFirst="0" w:colLast="0"/>
      <w:bookmarkEnd w:id="11"/>
      <w:r>
        <w:rPr>
          <w:color w:val="000000"/>
          <w:sz w:val="24"/>
          <w:szCs w:val="24"/>
        </w:rPr>
        <w:t>on a regular basis and as a minimum once every six (6) Months;</w:t>
      </w:r>
    </w:p>
    <w:p w14:paraId="7139E55B"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26in1rg" w:colFirst="0" w:colLast="0"/>
      <w:bookmarkEnd w:id="12"/>
      <w:r>
        <w:rPr>
          <w:color w:val="000000"/>
          <w:sz w:val="24"/>
          <w:szCs w:val="24"/>
        </w:rPr>
        <w:t>within three (3) calendar Months of the BCDR Plan (or any part) having been invoked pursuant to Paragraph 8; and</w:t>
      </w:r>
    </w:p>
    <w:p w14:paraId="5520C127"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lnxbz9" w:colFirst="0" w:colLast="0"/>
      <w:bookmarkEnd w:id="13"/>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w:t>
      </w:r>
      <w:r>
        <w:rPr>
          <w:color w:val="000000"/>
          <w:sz w:val="24"/>
          <w:szCs w:val="24"/>
        </w:rPr>
        <w:t xml:space="preserve">not be entitled to charge the Buyer for any costs that it may incur above any estimate without the Buyer’s prior written approval. </w:t>
      </w:r>
    </w:p>
    <w:p w14:paraId="649EE0FD"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bookmarkStart w:id="14" w:name="_heading=h.35nkun2" w:colFirst="0" w:colLast="0"/>
      <w:bookmarkEnd w:id="14"/>
      <w:r>
        <w:rPr>
          <w:color w:val="000000"/>
          <w:sz w:val="24"/>
          <w:szCs w:val="24"/>
        </w:rPr>
        <w:t>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14:paraId="3E2A325C"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bookmarkStart w:id="15" w:name="_heading=h.1ksv4uv" w:colFirst="0" w:colLast="0"/>
      <w:bookmarkEnd w:id="15"/>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73DAD533"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bookmarkStart w:id="16" w:name="_heading=h.44sinio" w:colFirst="0" w:colLast="0"/>
      <w:bookmarkEnd w:id="16"/>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2D32074E"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734F05E3" w14:textId="77777777" w:rsidR="00C41101" w:rsidRDefault="00F80B0B">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7" w:name="_heading=h.2jxsxqh" w:colFirst="0" w:colLast="0"/>
      <w:bookmarkEnd w:id="17"/>
      <w:r>
        <w:rPr>
          <w:rFonts w:ascii="Arial Bold" w:eastAsia="Arial Bold" w:hAnsi="Arial Bold" w:cs="Arial Bold"/>
          <w:b/>
          <w:color w:val="000000"/>
          <w:sz w:val="24"/>
          <w:szCs w:val="24"/>
        </w:rPr>
        <w:t>Testing the BCDR Plan</w:t>
      </w:r>
    </w:p>
    <w:p w14:paraId="39A1CB67" w14:textId="77777777" w:rsidR="00C41101" w:rsidRDefault="00F80B0B">
      <w:pPr>
        <w:keepNext/>
        <w:numPr>
          <w:ilvl w:val="1"/>
          <w:numId w:val="1"/>
        </w:numPr>
        <w:pBdr>
          <w:top w:val="nil"/>
          <w:left w:val="nil"/>
          <w:bottom w:val="nil"/>
          <w:right w:val="nil"/>
          <w:between w:val="nil"/>
        </w:pBdr>
        <w:spacing w:before="120" w:after="120"/>
        <w:jc w:val="left"/>
        <w:rPr>
          <w:color w:val="000000"/>
          <w:sz w:val="24"/>
          <w:szCs w:val="24"/>
        </w:rPr>
      </w:pPr>
      <w:bookmarkStart w:id="18" w:name="_heading=h.z337ya" w:colFirst="0" w:colLast="0"/>
      <w:bookmarkEnd w:id="18"/>
      <w:r>
        <w:rPr>
          <w:color w:val="000000"/>
          <w:sz w:val="24"/>
          <w:szCs w:val="24"/>
        </w:rPr>
        <w:t xml:space="preserve">The Supplier shall test the BCDR Plan: </w:t>
      </w:r>
    </w:p>
    <w:p w14:paraId="0F0504AA"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4E90A3DB"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1DEAE7F2"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57D0EB28"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bookmarkStart w:id="19" w:name="_heading=h.3j2qqm3" w:colFirst="0" w:colLast="0"/>
      <w:bookmarkEnd w:id="19"/>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4DA38DF"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42C48699"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86C6F48" w14:textId="77777777" w:rsidR="00C41101" w:rsidRDefault="00F80B0B">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42F5CC83"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6AB38FA2"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59A3616" w14:textId="77777777" w:rsidR="00C41101" w:rsidRDefault="00F80B0B">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819A39E"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bookmarkStart w:id="20" w:name="_heading=h.1y810tw" w:colFirst="0" w:colLast="0"/>
      <w:bookmarkEnd w:id="20"/>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5AA68BA9" w14:textId="77777777" w:rsidR="00C41101" w:rsidRDefault="00F80B0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1" w:name="_heading=h.4i7ojhp" w:colFirst="0" w:colLast="0"/>
      <w:bookmarkEnd w:id="21"/>
      <w:r>
        <w:rPr>
          <w:rFonts w:ascii="Arial Bold" w:eastAsia="Arial Bold" w:hAnsi="Arial Bold" w:cs="Arial Bold"/>
          <w:b/>
          <w:color w:val="000000"/>
          <w:sz w:val="24"/>
          <w:szCs w:val="24"/>
        </w:rPr>
        <w:t>Invoking the BCDR Plan</w:t>
      </w:r>
    </w:p>
    <w:p w14:paraId="4248B321"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A0CBF91"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Insolvency Continuity Plan element of the BCDR Plan, including any linked elements in other parts of the BCDR Plan, shall be invoked by the Supplier:</w:t>
      </w:r>
    </w:p>
    <w:p w14:paraId="561E21EC" w14:textId="77777777" w:rsidR="00C41101" w:rsidRDefault="00F80B0B">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an Insolvency Event of a Key Sub-contractor and/or Supplier Group member (other than the Supplier) could reasonably be expected to adversely affect delivery of the Deliverables; and/or</w:t>
      </w:r>
    </w:p>
    <w:p w14:paraId="5D084B80" w14:textId="77777777" w:rsidR="00C41101" w:rsidRDefault="00F80B0B">
      <w:pPr>
        <w:numPr>
          <w:ilvl w:val="2"/>
          <w:numId w:val="1"/>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Where there is an Insolvency Event of the Supplier and the insolvency arrangements enable the Supplier to invoke the plan.</w:t>
      </w:r>
    </w:p>
    <w:p w14:paraId="22455581" w14:textId="77777777" w:rsidR="00C41101" w:rsidRDefault="00F80B0B">
      <w:pPr>
        <w:keepNext/>
        <w:numPr>
          <w:ilvl w:val="0"/>
          <w:numId w:val="1"/>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58EDEDD5" w14:textId="77777777" w:rsidR="00C41101" w:rsidRDefault="00F80B0B">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3AC9F885" w14:textId="77777777" w:rsidR="00C41101" w:rsidRDefault="00F80B0B">
      <w:pPr>
        <w:keepNext/>
        <w:numPr>
          <w:ilvl w:val="0"/>
          <w:numId w:val="1"/>
        </w:numPr>
        <w:pBdr>
          <w:top w:val="nil"/>
          <w:left w:val="nil"/>
          <w:bottom w:val="nil"/>
          <w:right w:val="nil"/>
          <w:between w:val="nil"/>
        </w:pBdr>
        <w:tabs>
          <w:tab w:val="left" w:pos="0"/>
        </w:tabs>
        <w:spacing w:before="240"/>
        <w:ind w:left="360" w:hanging="36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Amendments to this Schedule in respect of Bronze Contracts</w:t>
      </w:r>
    </w:p>
    <w:p w14:paraId="714FCE9F" w14:textId="77777777" w:rsidR="00C41101" w:rsidRDefault="00F80B0B">
      <w:pPr>
        <w:ind w:firstLine="1418"/>
        <w:rPr>
          <w:color w:val="000000"/>
          <w:sz w:val="24"/>
          <w:szCs w:val="24"/>
        </w:rPr>
      </w:pPr>
      <w:r>
        <w:t xml:space="preserve">10.1 Where </w:t>
      </w:r>
      <w:r>
        <w:rPr>
          <w:color w:val="000000"/>
          <w:sz w:val="24"/>
          <w:szCs w:val="24"/>
        </w:rPr>
        <w:t>a Buyer’s Order  Contract is a Bronze Contract, if specified in the Order Form, the following provisions of this Order Schedule 8, shall be disapplied in respect of that Contract:</w:t>
      </w:r>
    </w:p>
    <w:p w14:paraId="1DB68E78"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10.1.1 Paragraph 1.3.4 of Part A so that the BCDR plan shall only be required to be split into the three sections detailed in paragraphs 1.3.1 to 1.3.3 inclusive;</w:t>
      </w:r>
    </w:p>
    <w:p w14:paraId="7F8449DD"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10.1.2 Paragraphs 2.1.13 to 2.1.15 of Part A, inclusive;</w:t>
      </w:r>
    </w:p>
    <w:p w14:paraId="11128CF0"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10.1.3 Paragraph 5 (Insolvency Continuity Plan) of Part A;</w:t>
      </w:r>
    </w:p>
    <w:p w14:paraId="0FB58B2A"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10.1.4 Paragraph 8.2 of Part A; and</w:t>
      </w:r>
    </w:p>
    <w:p w14:paraId="42A871AC"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10.1.5 The entirety of Part B of this Schedule.</w:t>
      </w:r>
    </w:p>
    <w:p w14:paraId="531D9BCA" w14:textId="77777777" w:rsidR="00C41101" w:rsidRDefault="00F80B0B">
      <w:pPr>
        <w:pBdr>
          <w:top w:val="nil"/>
          <w:left w:val="nil"/>
          <w:bottom w:val="nil"/>
          <w:right w:val="nil"/>
          <w:between w:val="nil"/>
        </w:pBdr>
        <w:spacing w:before="120" w:after="120"/>
        <w:ind w:left="720"/>
        <w:jc w:val="left"/>
        <w:rPr>
          <w:color w:val="000000"/>
          <w:sz w:val="24"/>
          <w:szCs w:val="24"/>
        </w:rPr>
      </w:pPr>
      <w:r>
        <w:rPr>
          <w:color w:val="000000"/>
          <w:sz w:val="24"/>
          <w:szCs w:val="24"/>
        </w:rPr>
        <w:t>10.2 Where a Buyer’s Order Contract is a Bronze Contract, if specified in the Order Form, the following definitions in Paragraph 1 of this Order Schedule 8, shall be deemed to be deleted:</w:t>
      </w:r>
    </w:p>
    <w:p w14:paraId="31EE7916"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 Annual Review;</w:t>
      </w:r>
    </w:p>
    <w:p w14:paraId="24A81FA1"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10.2.2 Appropriate Authority or Appropriate Authorities;</w:t>
      </w:r>
    </w:p>
    <w:p w14:paraId="60D226C6"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10.2.3 Associates;</w:t>
      </w:r>
    </w:p>
    <w:p w14:paraId="7926581D"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10.2.4 Class 1 Transaction;</w:t>
      </w:r>
    </w:p>
    <w:p w14:paraId="4F0F36BD"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10.2.5 Control;</w:t>
      </w:r>
    </w:p>
    <w:p w14:paraId="15B3C136"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10.2.6 Corporate Change Event;</w:t>
      </w:r>
    </w:p>
    <w:p w14:paraId="2C07F236"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10.2.7 Critical National Infrastructure;</w:t>
      </w:r>
    </w:p>
    <w:p w14:paraId="47E3C0EE"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10.2.8 Critical Service Contract;</w:t>
      </w:r>
    </w:p>
    <w:p w14:paraId="076D56F6"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10.2.9 CRP Information;</w:t>
      </w:r>
    </w:p>
    <w:p w14:paraId="08ADCF72"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10.2.10 Dependent Parent Undertaking;</w:t>
      </w:r>
    </w:p>
    <w:p w14:paraId="0EFC051C"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10.2.11 Group Structure Information and Resolution Commentary;</w:t>
      </w:r>
    </w:p>
    <w:p w14:paraId="755CBB97"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10.2.12 Parent Undertaking;</w:t>
      </w:r>
    </w:p>
    <w:p w14:paraId="01958772"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10.2.13 Public Sector Dependent Supplier;</w:t>
      </w:r>
    </w:p>
    <w:p w14:paraId="6079CFFE"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10.2.14 Subsidiary Undertaking;</w:t>
      </w:r>
    </w:p>
    <w:p w14:paraId="3C2D2A3A"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10.2.15 Supplier Group;</w:t>
      </w:r>
    </w:p>
    <w:p w14:paraId="2BB9C80A"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10.2.16 UK Public Sector Business; and</w:t>
      </w:r>
    </w:p>
    <w:p w14:paraId="113C00BA" w14:textId="77777777" w:rsidR="00C41101" w:rsidRDefault="00F80B0B">
      <w:pPr>
        <w:pBdr>
          <w:top w:val="nil"/>
          <w:left w:val="nil"/>
          <w:bottom w:val="nil"/>
          <w:right w:val="nil"/>
          <w:between w:val="nil"/>
        </w:pBdr>
        <w:spacing w:before="120" w:after="120"/>
        <w:ind w:left="1440"/>
        <w:jc w:val="left"/>
        <w:rPr>
          <w:color w:val="000000"/>
          <w:sz w:val="24"/>
          <w:szCs w:val="24"/>
        </w:rPr>
      </w:pPr>
      <w:r>
        <w:rPr>
          <w:color w:val="000000"/>
          <w:sz w:val="24"/>
          <w:szCs w:val="24"/>
        </w:rPr>
        <w:t>10.2.17 UK Public Sector/CNI Contract Information.</w:t>
      </w:r>
    </w:p>
    <w:p w14:paraId="45F491EC" w14:textId="77777777" w:rsidR="00C41101" w:rsidRDefault="00C41101">
      <w:pPr>
        <w:pBdr>
          <w:top w:val="nil"/>
          <w:left w:val="nil"/>
          <w:bottom w:val="nil"/>
          <w:right w:val="nil"/>
          <w:between w:val="nil"/>
        </w:pBdr>
        <w:spacing w:before="120" w:after="120"/>
        <w:ind w:left="0"/>
        <w:jc w:val="left"/>
        <w:rPr>
          <w:color w:val="000000"/>
          <w:sz w:val="24"/>
          <w:szCs w:val="24"/>
        </w:rPr>
      </w:pPr>
    </w:p>
    <w:p w14:paraId="528EE6F8" w14:textId="77777777" w:rsidR="00C41101" w:rsidRDefault="00F80B0B">
      <w:pPr>
        <w:ind w:firstLine="1418"/>
        <w:rPr>
          <w:color w:val="000000"/>
          <w:sz w:val="24"/>
          <w:szCs w:val="24"/>
        </w:rPr>
      </w:pPr>
      <w:r>
        <w:br w:type="page"/>
      </w:r>
    </w:p>
    <w:p w14:paraId="4F3FA8EF" w14:textId="77777777" w:rsidR="00C41101" w:rsidRDefault="00F80B0B">
      <w:pPr>
        <w:pBdr>
          <w:top w:val="nil"/>
          <w:left w:val="nil"/>
          <w:bottom w:val="nil"/>
          <w:right w:val="nil"/>
          <w:between w:val="nil"/>
        </w:pBdr>
        <w:spacing w:before="120" w:after="120"/>
        <w:ind w:left="720" w:hanging="720"/>
        <w:rPr>
          <w:b/>
          <w:color w:val="000000"/>
          <w:sz w:val="32"/>
          <w:szCs w:val="32"/>
        </w:rPr>
      </w:pPr>
      <w:r>
        <w:rPr>
          <w:b/>
          <w:color w:val="000000"/>
          <w:sz w:val="32"/>
          <w:szCs w:val="32"/>
        </w:rPr>
        <w:t>Part B:  Corporate Resolution Planning</w:t>
      </w:r>
    </w:p>
    <w:p w14:paraId="5840C7CB" w14:textId="77777777" w:rsidR="00C41101" w:rsidRDefault="00F80B0B">
      <w:pPr>
        <w:keepNext/>
        <w:numPr>
          <w:ilvl w:val="0"/>
          <w:numId w:val="3"/>
        </w:numPr>
        <w:pBdr>
          <w:top w:val="nil"/>
          <w:left w:val="nil"/>
          <w:bottom w:val="nil"/>
          <w:right w:val="nil"/>
          <w:between w:val="nil"/>
        </w:pBdr>
        <w:tabs>
          <w:tab w:val="left" w:pos="0"/>
        </w:tabs>
        <w:spacing w:before="240"/>
        <w:jc w:val="left"/>
        <w:rPr>
          <w:b/>
          <w:color w:val="000000"/>
          <w:sz w:val="24"/>
          <w:szCs w:val="24"/>
        </w:rPr>
      </w:pPr>
      <w:bookmarkStart w:id="22" w:name="_heading=h.2xcytpi" w:colFirst="0" w:colLast="0"/>
      <w:bookmarkEnd w:id="22"/>
      <w:r>
        <w:rPr>
          <w:b/>
          <w:color w:val="000000"/>
          <w:sz w:val="24"/>
          <w:szCs w:val="24"/>
        </w:rPr>
        <w:t>Service Status and Supplier Status</w:t>
      </w:r>
    </w:p>
    <w:p w14:paraId="483D90F6" w14:textId="2174AF95"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 xml:space="preserve">This Contract </w:t>
      </w:r>
      <w:r w:rsidRPr="00F83C0D">
        <w:rPr>
          <w:color w:val="000000"/>
          <w:sz w:val="24"/>
          <w:szCs w:val="24"/>
        </w:rPr>
        <w:t>is</w:t>
      </w:r>
      <w:r>
        <w:rPr>
          <w:color w:val="000000"/>
          <w:sz w:val="24"/>
          <w:szCs w:val="24"/>
        </w:rPr>
        <w:t xml:space="preserve"> a Critical Service Contract.</w:t>
      </w:r>
    </w:p>
    <w:p w14:paraId="7CEEFB84"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 shall notify the Buyer in writing within 5 Working Days of the Effective Date and throughout the Order Contract Period within 120 days after each Accounting Reference Date as to whether or not it is a Public Sector Dependent Supplier.</w:t>
      </w:r>
    </w:p>
    <w:p w14:paraId="7733E219" w14:textId="77777777" w:rsidR="00C41101" w:rsidRDefault="00F80B0B">
      <w:pPr>
        <w:keepNext/>
        <w:numPr>
          <w:ilvl w:val="0"/>
          <w:numId w:val="3"/>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Provision of Corporate Resolution Planning Information</w:t>
      </w:r>
    </w:p>
    <w:p w14:paraId="1C75CFB2"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Paragraphs 2 to 4 of this Part B shall apply if the Contract has been specified as a Critical Service Contract under Paragraph 1.1 of this Part B or the Supplier is or becomes a Public Sector Dependent Supplier.</w:t>
      </w:r>
    </w:p>
    <w:p w14:paraId="6EADA7D1"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Subject to Paragraphs 2.6, 2.10 and 2.11 of this Part B:</w:t>
      </w:r>
    </w:p>
    <w:p w14:paraId="170BFA0F"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where the Contract is a Critical Service Contract, the Supplier shall provide the Appropriate Authority or Appropriate Authorities</w:t>
      </w:r>
      <w:r>
        <w:rPr>
          <w:sz w:val="28"/>
          <w:szCs w:val="28"/>
        </w:rPr>
        <w:t xml:space="preserve"> </w:t>
      </w:r>
      <w:r>
        <w:rPr>
          <w:sz w:val="24"/>
          <w:szCs w:val="24"/>
        </w:rPr>
        <w:t>with the CRP Information within 60 days of the Effective Date; and</w:t>
      </w:r>
    </w:p>
    <w:p w14:paraId="4184D21D"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14:paraId="1F7D7303"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 shall ensure that the CRP Information provided pursuant to Paragraphs 2.2, 2.8 and 2.9 of this Part B:</w:t>
      </w:r>
    </w:p>
    <w:p w14:paraId="2AB1F0B7"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076C5FEB"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is split into two parts:</w:t>
      </w:r>
    </w:p>
    <w:p w14:paraId="63A88021"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 Structure Information and Resolution Commentary;</w:t>
      </w:r>
    </w:p>
    <w:p w14:paraId="52484FF3"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3B2FEE93"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incorporates any additional commentary, supporting documents and evidence which would reasonably be required by the Appropriate Authority or Appropriate Authorities to understand and consider the information for approval;</w:t>
      </w:r>
    </w:p>
    <w:p w14:paraId="38E05A50"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F591E5"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14EAC813"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w:t>
      </w:r>
      <w:r>
        <w:rPr>
          <w:color w:val="000000"/>
          <w:sz w:val="24"/>
          <w:szCs w:val="24"/>
        </w:rPr>
        <w:t>rities approves the CRP Information or that the Appropriate Authority or Appropriate Authorities rejects the CRP Information.</w:t>
      </w:r>
    </w:p>
    <w:p w14:paraId="0E0A3821"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If the Appropriate Authority or Appropriate Authorities rejects the CRP Information:</w:t>
      </w:r>
    </w:p>
    <w:p w14:paraId="3917F872"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67A2F891"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w:t>
      </w:r>
      <w:r>
        <w:rPr>
          <w:sz w:val="24"/>
          <w:szCs w:val="24"/>
        </w:rPr>
        <w:t xml:space="preserve"> for resolution by the Dispute Resolution Procedure under Clause 34 of the Core Terms at any time.</w:t>
      </w:r>
    </w:p>
    <w:p w14:paraId="7226B3A1"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w:t>
      </w:r>
      <w:r>
        <w:rPr>
          <w:color w:val="000000"/>
          <w:sz w:val="24"/>
          <w:szCs w:val="24"/>
        </w:rPr>
        <w:t xml:space="preserv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14:paraId="51C62957"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An Assurance shall be deemed Valid for the purposes of Paragraph 2.6 of this Part B if:</w:t>
      </w:r>
    </w:p>
    <w:p w14:paraId="3A2CC034"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14:paraId="61D65D4F"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77C69868"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If the Contract is a Critical Service Contract, the Supplier shall provide an updated version of the CRP Information (or, in the case of Paragraph 2.8.3 of this Part B its initial CRP Information) to the Appropriate Authority or Appropriate Authorities:</w:t>
      </w:r>
    </w:p>
    <w:p w14:paraId="18D1BF86"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14:paraId="41AD4754"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within 30 days of a Corporate Change Event unless not required pursuant to Paragraph 2.10;</w:t>
      </w:r>
    </w:p>
    <w:p w14:paraId="2F963E94"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within 30 days of the date that:</w:t>
      </w:r>
    </w:p>
    <w:p w14:paraId="31EB7E2C"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the credit rating(s) of each of the Supplier and its Parent Undertakings fail to meet any of the criteria specified in Paragraph 2.10; or</w:t>
      </w:r>
    </w:p>
    <w:p w14:paraId="32541F9F"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none of the credit rating agencies specified at Paragraph 2.10 hold a public credit rating for the Supplier or any of its Parent Undertakings; and</w:t>
      </w:r>
    </w:p>
    <w:p w14:paraId="604DF518"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in any event, within 6 months after each Accounting Reference Date or within 15 months of the date of the previous Assurance received from the Appropriate Authority (whichever is the earlier), unless:</w:t>
      </w:r>
    </w:p>
    <w:p w14:paraId="29C08DDC"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14:paraId="5B0EF93A"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unless not required pursuant to Paragraph 2.10.</w:t>
      </w:r>
    </w:p>
    <w:p w14:paraId="687C0AC6"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w:t>
      </w:r>
      <w:r>
        <w:rPr>
          <w:color w:val="000000"/>
          <w:sz w:val="24"/>
          <w:szCs w:val="24"/>
        </w:rPr>
        <w:t>ty or Appropriate Authorities.</w:t>
      </w:r>
    </w:p>
    <w:p w14:paraId="79B62C90"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Where the Supplier or a Parent Undertaking of the Supplier has a credit rating of either:</w:t>
      </w:r>
    </w:p>
    <w:p w14:paraId="5CD879F6"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Aa3 or better from Moody’s;</w:t>
      </w:r>
    </w:p>
    <w:p w14:paraId="77CBB0B3"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AA- or better from Standard and Poors;</w:t>
      </w:r>
    </w:p>
    <w:p w14:paraId="5C46B72A"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AA- or better from Fitch;</w:t>
      </w:r>
    </w:p>
    <w:p w14:paraId="1FEDB514" w14:textId="77777777" w:rsidR="00C41101" w:rsidRDefault="00F80B0B">
      <w:pPr>
        <w:keepNext/>
        <w:pBdr>
          <w:top w:val="nil"/>
          <w:left w:val="nil"/>
          <w:bottom w:val="nil"/>
          <w:right w:val="nil"/>
          <w:between w:val="nil"/>
        </w:pBdr>
        <w:spacing w:before="120" w:after="120"/>
        <w:ind w:left="720"/>
        <w:jc w:val="left"/>
        <w:rPr>
          <w:sz w:val="24"/>
          <w:szCs w:val="24"/>
        </w:rPr>
      </w:pPr>
      <w:r>
        <w:rPr>
          <w:sz w:val="24"/>
          <w:szCs w:val="24"/>
        </w:rPr>
        <w:t xml:space="preserve">the Supplier will not be required to provide any CRP Information unless or until either (i) a Financial Distress Event occurs (unless the Supplier is relieved of the consequences of the Financial Distress Event under Paragraph 7.1 to Joint Schedule 7 (Financial Distress), if applicable) or (ii) the Supplier and its Parent Undertakings cease to fulfil the criteria set out in this Paragraph 2.10, in which cases the Supplier shall provide the updated version of the CRP Information in accordance with paragraph </w:t>
      </w:r>
      <w:r>
        <w:rPr>
          <w:sz w:val="24"/>
          <w:szCs w:val="24"/>
        </w:rPr>
        <w:t>2.8.</w:t>
      </w:r>
    </w:p>
    <w:p w14:paraId="7D488C8A"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w:t>
      </w:r>
      <w:r>
        <w:rPr>
          <w:color w:val="000000"/>
          <w:sz w:val="24"/>
          <w:szCs w:val="24"/>
        </w:rPr>
        <w:t>omptly provide the relevant information to the Appropriate Authority or Appropriate Authorities to the extent required under Paragraph 2.8.</w:t>
      </w:r>
    </w:p>
    <w:p w14:paraId="634486E3" w14:textId="77777777" w:rsidR="00C41101" w:rsidRDefault="00F80B0B">
      <w:pPr>
        <w:keepNext/>
        <w:numPr>
          <w:ilvl w:val="0"/>
          <w:numId w:val="3"/>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Termination Rights</w:t>
      </w:r>
    </w:p>
    <w:p w14:paraId="56F79CF0"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Buyer shall be entitled to terminate the Contract if the Supplier is required to provide CRP Information under Paragraph 2 of this Part B and either:</w:t>
      </w:r>
    </w:p>
    <w:p w14:paraId="744C814B"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the Supplier fails to provide the CRP Information within 4 months of the Effective Date if this is a Critical Service Contract or otherwise within 4 months of the Appropriate Authority’s or Appropriate Authorities’ request; or</w:t>
      </w:r>
    </w:p>
    <w:p w14:paraId="36091FD8"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the Supplier fails to obtain an Assurance from the Appropriate Authority or Appropriate Authorities within 4 months of the date that it was first required to provide the CRP Information under the Contract,</w:t>
      </w:r>
    </w:p>
    <w:p w14:paraId="17177637" w14:textId="77777777" w:rsidR="00C41101" w:rsidRDefault="00F80B0B">
      <w:pPr>
        <w:pBdr>
          <w:top w:val="nil"/>
          <w:left w:val="nil"/>
          <w:bottom w:val="nil"/>
          <w:right w:val="nil"/>
          <w:between w:val="nil"/>
        </w:pBdr>
        <w:spacing w:before="120" w:after="120"/>
        <w:ind w:left="720" w:hanging="720"/>
        <w:rPr>
          <w:color w:val="000000"/>
          <w:sz w:val="24"/>
          <w:szCs w:val="24"/>
        </w:rPr>
      </w:pPr>
      <w:r>
        <w:rPr>
          <w:color w:val="000000"/>
          <w:sz w:val="24"/>
          <w:szCs w:val="24"/>
        </w:rPr>
        <w:t>which shall be deemed to be an event to which Clause 10.4.1 of the Core Terms applies and Clauses 10.6.1 and 10.6.2 of the Core Terms shall apply accordingly.</w:t>
      </w:r>
    </w:p>
    <w:p w14:paraId="7A1EE029" w14:textId="77777777" w:rsidR="00C41101" w:rsidRDefault="00F80B0B">
      <w:pPr>
        <w:keepNext/>
        <w:numPr>
          <w:ilvl w:val="0"/>
          <w:numId w:val="3"/>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Confidentiality and usage of CRP Information</w:t>
      </w:r>
    </w:p>
    <w:p w14:paraId="0D8A9057"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17D00E6F" w14:textId="77777777" w:rsidR="00C41101" w:rsidRDefault="00F80B0B">
      <w:pPr>
        <w:numPr>
          <w:ilvl w:val="1"/>
          <w:numId w:val="3"/>
        </w:numPr>
        <w:pBdr>
          <w:top w:val="nil"/>
          <w:left w:val="nil"/>
          <w:bottom w:val="nil"/>
          <w:right w:val="nil"/>
          <w:between w:val="nil"/>
        </w:pBdr>
        <w:spacing w:before="120" w:after="120"/>
        <w:rPr>
          <w:color w:val="000000"/>
          <w:sz w:val="24"/>
          <w:szCs w:val="24"/>
        </w:rPr>
      </w:pPr>
      <w:bookmarkStart w:id="23" w:name="_heading=h.23ckvvd" w:colFirst="0" w:colLast="0"/>
      <w:bookmarkEnd w:id="23"/>
      <w:r>
        <w:rPr>
          <w:color w:val="000000"/>
          <w:sz w:val="24"/>
          <w:szCs w:val="24"/>
        </w:rPr>
        <w:t>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14:paraId="23C66DFA"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14:paraId="0E75C566"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Where the Supplier is unable to procure consent pursuant to Paragraph 4.3 of this Part B, the Supplier shall use all reasonable endeavours to disclose the CRP Information to the fullest extent possible by limiting the amount of information it withholds including by:</w:t>
      </w:r>
    </w:p>
    <w:p w14:paraId="572288A9"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62E1947C" w14:textId="77777777" w:rsidR="00C41101" w:rsidRDefault="00F80B0B">
      <w:pPr>
        <w:keepNext/>
        <w:numPr>
          <w:ilvl w:val="2"/>
          <w:numId w:val="3"/>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030A31C4"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summarising the information;</w:t>
      </w:r>
    </w:p>
    <w:p w14:paraId="3923E214"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grouping the information;</w:t>
      </w:r>
    </w:p>
    <w:p w14:paraId="30A4E3BF"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anonymising the information; and</w:t>
      </w:r>
    </w:p>
    <w:p w14:paraId="40C1F5FF" w14:textId="77777777" w:rsidR="00C41101" w:rsidRDefault="00F80B0B">
      <w:pPr>
        <w:numPr>
          <w:ilvl w:val="3"/>
          <w:numId w:val="3"/>
        </w:numPr>
        <w:pBdr>
          <w:top w:val="nil"/>
          <w:left w:val="nil"/>
          <w:bottom w:val="nil"/>
          <w:right w:val="nil"/>
          <w:between w:val="nil"/>
        </w:pBdr>
        <w:tabs>
          <w:tab w:val="left" w:pos="1985"/>
          <w:tab w:val="left" w:pos="2127"/>
        </w:tabs>
        <w:spacing w:before="120" w:after="120"/>
        <w:ind w:left="2127"/>
        <w:rPr>
          <w:color w:val="000000"/>
          <w:sz w:val="24"/>
          <w:szCs w:val="24"/>
        </w:rPr>
      </w:pPr>
      <w:r>
        <w:rPr>
          <w:color w:val="000000"/>
          <w:sz w:val="24"/>
          <w:szCs w:val="24"/>
        </w:rPr>
        <w:t>presenting the information in general terms</w:t>
      </w:r>
    </w:p>
    <w:p w14:paraId="6C0708C8" w14:textId="77777777" w:rsidR="00C41101" w:rsidRDefault="00F80B0B">
      <w:pPr>
        <w:numPr>
          <w:ilvl w:val="1"/>
          <w:numId w:val="3"/>
        </w:numPr>
        <w:pBdr>
          <w:top w:val="nil"/>
          <w:left w:val="nil"/>
          <w:bottom w:val="nil"/>
          <w:right w:val="nil"/>
          <w:between w:val="nil"/>
        </w:pBdr>
        <w:spacing w:before="120" w:after="120"/>
        <w:rPr>
          <w:color w:val="000000"/>
          <w:sz w:val="24"/>
          <w:szCs w:val="24"/>
        </w:rPr>
      </w:pPr>
      <w:r>
        <w:rPr>
          <w:color w:val="000000"/>
          <w:sz w:val="24"/>
          <w:szCs w:val="24"/>
        </w:rPr>
        <w:t>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14:paraId="64E8D5FE" w14:textId="77777777" w:rsidR="00C41101" w:rsidRDefault="00C41101">
      <w:pPr>
        <w:pBdr>
          <w:top w:val="nil"/>
          <w:left w:val="nil"/>
          <w:bottom w:val="nil"/>
          <w:right w:val="nil"/>
          <w:between w:val="nil"/>
        </w:pBdr>
        <w:spacing w:before="120" w:after="120"/>
        <w:ind w:left="720" w:hanging="720"/>
        <w:rPr>
          <w:rFonts w:ascii="Calibri" w:eastAsia="Calibri" w:hAnsi="Calibri" w:cs="Calibri"/>
          <w:color w:val="000000"/>
        </w:rPr>
      </w:pPr>
    </w:p>
    <w:p w14:paraId="53665C7F" w14:textId="77777777" w:rsidR="00C41101" w:rsidRDefault="00F80B0B">
      <w:pPr>
        <w:ind w:firstLine="1418"/>
      </w:pPr>
      <w:r>
        <w:br w:type="page"/>
      </w:r>
    </w:p>
    <w:p w14:paraId="18F74B35" w14:textId="77777777" w:rsidR="00C41101" w:rsidRDefault="00F80B0B">
      <w:pPr>
        <w:ind w:left="0"/>
        <w:rPr>
          <w:b/>
          <w:sz w:val="32"/>
          <w:szCs w:val="32"/>
        </w:rPr>
      </w:pPr>
      <w:r>
        <w:rPr>
          <w:b/>
          <w:sz w:val="32"/>
          <w:szCs w:val="32"/>
        </w:rPr>
        <w:t>Appendix 1: Group structure information and resolution commentary</w:t>
      </w:r>
    </w:p>
    <w:p w14:paraId="620CE647" w14:textId="77777777" w:rsidR="00C41101" w:rsidRDefault="00F80B0B">
      <w:pPr>
        <w:numPr>
          <w:ilvl w:val="0"/>
          <w:numId w:val="4"/>
        </w:numPr>
        <w:pBdr>
          <w:top w:val="nil"/>
          <w:left w:val="nil"/>
          <w:bottom w:val="nil"/>
          <w:right w:val="nil"/>
          <w:between w:val="nil"/>
        </w:pBdr>
        <w:rPr>
          <w:color w:val="000000"/>
          <w:sz w:val="24"/>
          <w:szCs w:val="24"/>
        </w:rPr>
      </w:pPr>
      <w:r>
        <w:rPr>
          <w:color w:val="000000"/>
          <w:sz w:val="24"/>
          <w:szCs w:val="24"/>
        </w:rPr>
        <w:t>The Supplier shall:</w:t>
      </w:r>
    </w:p>
    <w:p w14:paraId="23EB0A36" w14:textId="77777777" w:rsidR="00C41101" w:rsidRDefault="00F80B0B">
      <w:pPr>
        <w:numPr>
          <w:ilvl w:val="1"/>
          <w:numId w:val="4"/>
        </w:numPr>
        <w:pBdr>
          <w:top w:val="nil"/>
          <w:left w:val="nil"/>
          <w:bottom w:val="nil"/>
          <w:right w:val="nil"/>
          <w:between w:val="nil"/>
        </w:pBdr>
        <w:ind w:left="1134"/>
        <w:rPr>
          <w:color w:val="000000"/>
          <w:sz w:val="24"/>
          <w:szCs w:val="24"/>
        </w:rPr>
      </w:pPr>
      <w:r>
        <w:rPr>
          <w:color w:val="000000"/>
          <w:sz w:val="24"/>
          <w:szCs w:val="24"/>
        </w:rPr>
        <w:t>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14:paraId="0AF379FC" w14:textId="77777777" w:rsidR="00C41101" w:rsidRDefault="00F80B0B">
      <w:pPr>
        <w:numPr>
          <w:ilvl w:val="1"/>
          <w:numId w:val="4"/>
        </w:numPr>
        <w:pBdr>
          <w:top w:val="nil"/>
          <w:left w:val="nil"/>
          <w:bottom w:val="nil"/>
          <w:right w:val="nil"/>
          <w:between w:val="nil"/>
        </w:pBdr>
        <w:ind w:left="1134"/>
        <w:rPr>
          <w:color w:val="000000"/>
          <w:sz w:val="24"/>
          <w:szCs w:val="24"/>
        </w:rPr>
      </w:pPr>
      <w:r>
        <w:rPr>
          <w:color w:val="000000"/>
          <w:sz w:val="24"/>
          <w:szCs w:val="24"/>
        </w:rPr>
        <w:t>ensure that the information is presented so as to provide a simple, effective and easily understood overview of the Supplier Group; and</w:t>
      </w:r>
    </w:p>
    <w:p w14:paraId="399B6D26" w14:textId="77777777" w:rsidR="00C41101" w:rsidRDefault="00F80B0B">
      <w:pPr>
        <w:numPr>
          <w:ilvl w:val="1"/>
          <w:numId w:val="4"/>
        </w:numPr>
        <w:pBdr>
          <w:top w:val="nil"/>
          <w:left w:val="nil"/>
          <w:bottom w:val="nil"/>
          <w:right w:val="nil"/>
          <w:between w:val="nil"/>
        </w:pBdr>
        <w:ind w:left="1134"/>
        <w:rPr>
          <w:color w:val="000000"/>
          <w:sz w:val="24"/>
          <w:szCs w:val="24"/>
        </w:rPr>
      </w:pPr>
      <w:r>
        <w:rPr>
          <w:color w:val="000000"/>
          <w:sz w:val="24"/>
          <w:szCs w:val="24"/>
        </w:rPr>
        <w:t>provide full details of the importance of each member of the Supplier Group to the Supplier Group’s UK Public Sector Business and CNI contracts listed pursuant to Appendix 2 and the dependencies between each.</w:t>
      </w:r>
    </w:p>
    <w:p w14:paraId="1AB711EA" w14:textId="77777777" w:rsidR="00C41101" w:rsidRDefault="00F80B0B">
      <w:pPr>
        <w:ind w:firstLine="1418"/>
      </w:pPr>
      <w:r>
        <w:br w:type="page"/>
      </w:r>
    </w:p>
    <w:p w14:paraId="7C36FFF1" w14:textId="77777777" w:rsidR="00C41101" w:rsidRDefault="00F80B0B">
      <w:pPr>
        <w:ind w:left="0"/>
        <w:rPr>
          <w:b/>
          <w:sz w:val="32"/>
          <w:szCs w:val="32"/>
        </w:rPr>
      </w:pPr>
      <w:r>
        <w:rPr>
          <w:b/>
          <w:sz w:val="32"/>
          <w:szCs w:val="32"/>
        </w:rPr>
        <w:t>Appendix 2: UK Public Sector / CNI Contract Information</w:t>
      </w:r>
    </w:p>
    <w:p w14:paraId="6505BAC2" w14:textId="77777777" w:rsidR="00C41101" w:rsidRDefault="00F80B0B">
      <w:pPr>
        <w:numPr>
          <w:ilvl w:val="0"/>
          <w:numId w:val="5"/>
        </w:numPr>
        <w:pBdr>
          <w:top w:val="nil"/>
          <w:left w:val="nil"/>
          <w:bottom w:val="nil"/>
          <w:right w:val="nil"/>
          <w:between w:val="nil"/>
        </w:pBdr>
        <w:rPr>
          <w:color w:val="000000"/>
          <w:sz w:val="24"/>
          <w:szCs w:val="24"/>
        </w:rPr>
      </w:pPr>
      <w:r>
        <w:rPr>
          <w:color w:val="000000"/>
          <w:sz w:val="24"/>
          <w:szCs w:val="24"/>
        </w:rPr>
        <w:t>The Supplier shall:</w:t>
      </w:r>
    </w:p>
    <w:p w14:paraId="27DA8835" w14:textId="77777777" w:rsidR="00C41101" w:rsidRDefault="00F80B0B">
      <w:pPr>
        <w:numPr>
          <w:ilvl w:val="1"/>
          <w:numId w:val="5"/>
        </w:numPr>
        <w:pBdr>
          <w:top w:val="nil"/>
          <w:left w:val="nil"/>
          <w:bottom w:val="nil"/>
          <w:right w:val="nil"/>
          <w:between w:val="nil"/>
        </w:pBdr>
        <w:rPr>
          <w:color w:val="000000"/>
          <w:sz w:val="24"/>
          <w:szCs w:val="24"/>
        </w:rPr>
      </w:pPr>
      <w:r>
        <w:rPr>
          <w:color w:val="000000"/>
          <w:sz w:val="24"/>
          <w:szCs w:val="24"/>
        </w:rPr>
        <w:t>provide details of all agreements held by members of the Supplier Group where those agreements are for goods, services or works provision and:</w:t>
      </w:r>
    </w:p>
    <w:p w14:paraId="05A82A08" w14:textId="77777777" w:rsidR="00C41101" w:rsidRDefault="00F80B0B">
      <w:pPr>
        <w:numPr>
          <w:ilvl w:val="2"/>
          <w:numId w:val="5"/>
        </w:numPr>
        <w:pBdr>
          <w:top w:val="nil"/>
          <w:left w:val="nil"/>
          <w:bottom w:val="nil"/>
          <w:right w:val="nil"/>
          <w:between w:val="nil"/>
        </w:pBdr>
        <w:rPr>
          <w:color w:val="000000"/>
          <w:sz w:val="24"/>
          <w:szCs w:val="24"/>
        </w:rPr>
      </w:pPr>
      <w:r>
        <w:rPr>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1F61210B" w14:textId="77777777" w:rsidR="00C41101" w:rsidRDefault="00F80B0B">
      <w:pPr>
        <w:numPr>
          <w:ilvl w:val="2"/>
          <w:numId w:val="5"/>
        </w:numPr>
        <w:pBdr>
          <w:top w:val="nil"/>
          <w:left w:val="nil"/>
          <w:bottom w:val="nil"/>
          <w:right w:val="nil"/>
          <w:between w:val="nil"/>
        </w:pBdr>
        <w:rPr>
          <w:color w:val="000000"/>
          <w:sz w:val="24"/>
          <w:szCs w:val="24"/>
        </w:rPr>
      </w:pPr>
      <w:r>
        <w:rPr>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6C3D55F2" w14:textId="77777777" w:rsidR="00C41101" w:rsidRDefault="00F80B0B">
      <w:pPr>
        <w:numPr>
          <w:ilvl w:val="2"/>
          <w:numId w:val="5"/>
        </w:numPr>
        <w:pBdr>
          <w:top w:val="nil"/>
          <w:left w:val="nil"/>
          <w:bottom w:val="nil"/>
          <w:right w:val="nil"/>
          <w:between w:val="nil"/>
        </w:pBdr>
        <w:rPr>
          <w:color w:val="000000"/>
          <w:sz w:val="24"/>
          <w:szCs w:val="24"/>
        </w:rPr>
      </w:pPr>
      <w:r>
        <w:rPr>
          <w:color w:val="000000"/>
          <w:sz w:val="24"/>
          <w:szCs w:val="24"/>
        </w:rPr>
        <w:t>involve or could reasonably be considered to involve CNI;</w:t>
      </w:r>
    </w:p>
    <w:p w14:paraId="0817128A" w14:textId="77777777" w:rsidR="00C41101" w:rsidRDefault="00F80B0B">
      <w:pPr>
        <w:numPr>
          <w:ilvl w:val="1"/>
          <w:numId w:val="5"/>
        </w:numPr>
        <w:pBdr>
          <w:top w:val="nil"/>
          <w:left w:val="nil"/>
          <w:bottom w:val="nil"/>
          <w:right w:val="nil"/>
          <w:between w:val="nil"/>
        </w:pBdr>
        <w:rPr>
          <w:color w:val="000000"/>
          <w:sz w:val="24"/>
          <w:szCs w:val="24"/>
        </w:rPr>
      </w:pPr>
      <w:r>
        <w:rPr>
          <w:color w:val="000000"/>
          <w:sz w:val="24"/>
          <w:szCs w:val="24"/>
        </w:rPr>
        <w:t>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14:paraId="782EE1B7" w14:textId="77777777" w:rsidR="00C41101" w:rsidRDefault="00C41101">
      <w:pPr>
        <w:pBdr>
          <w:top w:val="nil"/>
          <w:left w:val="nil"/>
          <w:bottom w:val="nil"/>
          <w:right w:val="nil"/>
          <w:between w:val="nil"/>
        </w:pBdr>
        <w:spacing w:before="120" w:after="120"/>
        <w:ind w:left="0"/>
        <w:jc w:val="left"/>
        <w:rPr>
          <w:color w:val="000000"/>
          <w:sz w:val="24"/>
          <w:szCs w:val="24"/>
        </w:rPr>
      </w:pPr>
    </w:p>
    <w:p w14:paraId="3996226A" w14:textId="77777777" w:rsidR="00C41101" w:rsidRDefault="00F80B0B">
      <w:pPr>
        <w:pBdr>
          <w:top w:val="nil"/>
          <w:left w:val="nil"/>
          <w:bottom w:val="nil"/>
          <w:right w:val="nil"/>
          <w:between w:val="nil"/>
        </w:pBdr>
        <w:spacing w:before="120" w:after="120"/>
        <w:ind w:left="0"/>
        <w:jc w:val="left"/>
        <w:rPr>
          <w:color w:val="000000"/>
          <w:sz w:val="24"/>
          <w:szCs w:val="24"/>
        </w:rPr>
      </w:pPr>
      <w:r>
        <w:t xml:space="preserve">     </w:t>
      </w:r>
    </w:p>
    <w:p w14:paraId="4FB31CF1" w14:textId="77777777" w:rsidR="00C41101" w:rsidRDefault="00C41101"/>
    <w:sectPr w:rsidR="00C41101">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143AF" w14:textId="77777777" w:rsidR="00F80B0B" w:rsidRDefault="00F80B0B">
      <w:pPr>
        <w:spacing w:after="0"/>
      </w:pPr>
      <w:r>
        <w:separator/>
      </w:r>
    </w:p>
  </w:endnote>
  <w:endnote w:type="continuationSeparator" w:id="0">
    <w:p w14:paraId="74811B7C" w14:textId="77777777" w:rsidR="00F80B0B" w:rsidRDefault="00F80B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2FE8" w14:textId="77777777" w:rsidR="00C41101" w:rsidRDefault="00C41101">
    <w:pPr>
      <w:tabs>
        <w:tab w:val="center" w:pos="4513"/>
        <w:tab w:val="right" w:pos="9026"/>
      </w:tabs>
      <w:spacing w:after="0"/>
      <w:ind w:left="0"/>
      <w:rPr>
        <w:rFonts w:ascii="Calibri" w:eastAsia="Calibri" w:hAnsi="Calibri" w:cs="Calibri"/>
        <w:color w:val="A6A6A6"/>
      </w:rPr>
    </w:pPr>
  </w:p>
  <w:p w14:paraId="23B7C979" w14:textId="77777777" w:rsidR="00C41101" w:rsidRDefault="00F80B0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DPS Ref: RM6264</w:t>
    </w:r>
  </w:p>
  <w:p w14:paraId="5CB8F9E7" w14:textId="77777777" w:rsidR="00C41101" w:rsidRDefault="00F80B0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F83C0D">
      <w:rPr>
        <w:noProof/>
        <w:color w:val="000000"/>
        <w:sz w:val="20"/>
        <w:szCs w:val="20"/>
      </w:rPr>
      <w:t>1</w:t>
    </w:r>
    <w:r>
      <w:rPr>
        <w:color w:val="000000"/>
        <w:sz w:val="20"/>
        <w:szCs w:val="20"/>
      </w:rPr>
      <w:fldChar w:fldCharType="end"/>
    </w:r>
  </w:p>
  <w:p w14:paraId="3F57EFAE" w14:textId="77777777" w:rsidR="00C41101" w:rsidRDefault="00F80B0B">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0CCEE" w14:textId="77777777" w:rsidR="00C41101" w:rsidRDefault="00F80B0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r>
    <w:r>
      <w:rPr>
        <w:color w:val="000000"/>
        <w:sz w:val="20"/>
        <w:szCs w:val="20"/>
      </w:rPr>
      <w:t xml:space="preserve">                                           </w:t>
    </w:r>
  </w:p>
  <w:p w14:paraId="0062A34D" w14:textId="77777777" w:rsidR="00C41101" w:rsidRDefault="00F80B0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631F7678" w14:textId="77777777" w:rsidR="00C41101" w:rsidRDefault="00F80B0B">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6C5B9" w14:textId="77777777" w:rsidR="00F80B0B" w:rsidRDefault="00F80B0B">
      <w:pPr>
        <w:spacing w:after="0"/>
      </w:pPr>
      <w:r>
        <w:separator/>
      </w:r>
    </w:p>
  </w:footnote>
  <w:footnote w:type="continuationSeparator" w:id="0">
    <w:p w14:paraId="63B64F92" w14:textId="77777777" w:rsidR="00F80B0B" w:rsidRDefault="00F80B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88E1" w14:textId="77777777" w:rsidR="00C41101" w:rsidRDefault="00F80B0B">
    <w:pPr>
      <w:tabs>
        <w:tab w:val="center" w:pos="4513"/>
        <w:tab w:val="right" w:pos="9026"/>
      </w:tabs>
      <w:spacing w:after="0"/>
      <w:ind w:left="0"/>
      <w:jc w:val="left"/>
      <w:rPr>
        <w:sz w:val="20"/>
        <w:szCs w:val="20"/>
      </w:rPr>
    </w:pPr>
    <w:r>
      <w:rPr>
        <w:b/>
        <w:sz w:val="20"/>
        <w:szCs w:val="20"/>
      </w:rPr>
      <w:t>Order Schedule 8 (Business Continuity and Disaster Recovery)</w:t>
    </w:r>
  </w:p>
  <w:p w14:paraId="09AC0D23" w14:textId="77777777" w:rsidR="00C41101" w:rsidRDefault="00F80B0B">
    <w:pPr>
      <w:tabs>
        <w:tab w:val="center" w:pos="4513"/>
        <w:tab w:val="right" w:pos="9026"/>
      </w:tabs>
      <w:spacing w:after="0"/>
      <w:ind w:left="0"/>
      <w:jc w:val="left"/>
      <w:rPr>
        <w:sz w:val="20"/>
        <w:szCs w:val="20"/>
      </w:rPr>
    </w:pPr>
    <w:r>
      <w:rPr>
        <w:sz w:val="20"/>
        <w:szCs w:val="20"/>
      </w:rPr>
      <w:t>Order Ref:</w:t>
    </w:r>
  </w:p>
  <w:p w14:paraId="2880B2AF" w14:textId="77777777" w:rsidR="00C41101" w:rsidRDefault="00F80B0B">
    <w:pPr>
      <w:tabs>
        <w:tab w:val="center" w:pos="4513"/>
        <w:tab w:val="right" w:pos="9026"/>
      </w:tabs>
      <w:spacing w:after="0"/>
      <w:ind w:left="0"/>
      <w:jc w:val="left"/>
      <w:rPr>
        <w:sz w:val="20"/>
        <w:szCs w:val="20"/>
      </w:rPr>
    </w:pPr>
    <w:r>
      <w:rPr>
        <w:sz w:val="20"/>
        <w:szCs w:val="20"/>
      </w:rPr>
      <w:t>Crown Copyright 2022</w:t>
    </w:r>
  </w:p>
  <w:p w14:paraId="6C53BB8A" w14:textId="77777777" w:rsidR="00C41101" w:rsidRDefault="00C41101">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616EE"/>
    <w:multiLevelType w:val="multilevel"/>
    <w:tmpl w:val="DDF46FB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D1C64C0"/>
    <w:multiLevelType w:val="multilevel"/>
    <w:tmpl w:val="CD42D7B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2CCC39D6"/>
    <w:multiLevelType w:val="multilevel"/>
    <w:tmpl w:val="F7F067B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lowerLetter"/>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72A624C"/>
    <w:multiLevelType w:val="multilevel"/>
    <w:tmpl w:val="AA02BCE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56302549"/>
    <w:multiLevelType w:val="multilevel"/>
    <w:tmpl w:val="2E862400"/>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879249453">
    <w:abstractNumId w:val="4"/>
  </w:num>
  <w:num w:numId="2" w16cid:durableId="1851213895">
    <w:abstractNumId w:val="2"/>
  </w:num>
  <w:num w:numId="3" w16cid:durableId="1757901924">
    <w:abstractNumId w:val="0"/>
  </w:num>
  <w:num w:numId="4" w16cid:durableId="1971396863">
    <w:abstractNumId w:val="3"/>
  </w:num>
  <w:num w:numId="5" w16cid:durableId="6758137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01"/>
    <w:rsid w:val="008D0CEA"/>
    <w:rsid w:val="00C41101"/>
    <w:rsid w:val="00F80B0B"/>
    <w:rsid w:val="00F83C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C82C78E"/>
  <w15:docId w15:val="{91E1249F-BEC9-4966-ACDC-6E7E1742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720" w:hanging="72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7458"/>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yngFOqjgVzZmjm5cat+vNk8vdA==">AMUW2mWTrbkOZZ0bIDBT9o5ChROKPGMb3kNlMw49Iqvv5KrUgGdT5+5G/8TMw6XW6OMAvFAtf1HXqIhvtrlzyGCew7z6uVY2Nn/76CzO5T4n3Bg2ubKQrIbQqkjeVm3MP0wzxiN+ADgcVzKZvVYfibu4LpySkV7Cd6ZJzFcpGD7MzHAU7HvjO513wmgE1lie3eaerduc3vPGXbnNf4XOKwbD6fXfojjcXgUf6JpG5YuwQ3SQXSL0KWBrGCdZEbG4FzmFlqe3qC8OrKcmvHEmyXXX1kcRdEaA8VsQaYKqQRu/i/d8De6tXp2YRll8gXKyIsJNYejj59jy/CslbogkIwbWWX5VoKzXMOcgFTJzbCaQMHJqQjMV+gna0anenIBjQZm7DWbphBj5pC0uOu+vX/DHmPCWZ4K+7Jt7snLfc6Y0iiarFMemdisgsBlwu5f/Ofg9aoWF6n1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5725</Words>
  <Characters>32634</Characters>
  <Application>Microsoft Office Word</Application>
  <DocSecurity>0</DocSecurity>
  <Lines>271</Lines>
  <Paragraphs>76</Paragraphs>
  <ScaleCrop>false</ScaleCrop>
  <Company/>
  <LinksUpToDate>false</LinksUpToDate>
  <CharactersWithSpaces>38283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2022-11-28T14:06:00Z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